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D9CCF2" w14:textId="77777777" w:rsidR="000B67A6" w:rsidRPr="00344830" w:rsidRDefault="000B67A6" w:rsidP="000B67A6">
      <w:pPr>
        <w:spacing w:line="480" w:lineRule="auto"/>
        <w:jc w:val="center"/>
        <w:rPr>
          <w:rFonts w:ascii="Times New Roman" w:hAnsi="Times New Roman" w:cs="Times New Roman"/>
        </w:rPr>
      </w:pPr>
      <w:bookmarkStart w:id="0" w:name="_GoBack"/>
      <w:bookmarkEnd w:id="0"/>
    </w:p>
    <w:p w14:paraId="06984333" w14:textId="77777777" w:rsidR="000B67A6" w:rsidRPr="00344830" w:rsidRDefault="000B67A6" w:rsidP="000B67A6">
      <w:pPr>
        <w:spacing w:line="480" w:lineRule="auto"/>
        <w:jc w:val="center"/>
        <w:rPr>
          <w:rFonts w:ascii="Times New Roman" w:hAnsi="Times New Roman" w:cs="Times New Roman"/>
        </w:rPr>
      </w:pPr>
    </w:p>
    <w:p w14:paraId="1A56A27E" w14:textId="77777777" w:rsidR="000B67A6" w:rsidRPr="00344830" w:rsidRDefault="000B67A6" w:rsidP="000B67A6">
      <w:pPr>
        <w:spacing w:line="480" w:lineRule="auto"/>
        <w:jc w:val="center"/>
        <w:rPr>
          <w:rFonts w:ascii="Times New Roman" w:hAnsi="Times New Roman" w:cs="Times New Roman"/>
        </w:rPr>
      </w:pPr>
    </w:p>
    <w:p w14:paraId="08A480A3" w14:textId="77777777" w:rsidR="0000016C" w:rsidRPr="00344830" w:rsidRDefault="000B67A6" w:rsidP="000B67A6">
      <w:pPr>
        <w:spacing w:line="480" w:lineRule="auto"/>
        <w:jc w:val="center"/>
        <w:rPr>
          <w:rFonts w:ascii="Times New Roman" w:hAnsi="Times New Roman" w:cs="Times New Roman"/>
        </w:rPr>
      </w:pPr>
      <w:r w:rsidRPr="00344830">
        <w:rPr>
          <w:rFonts w:ascii="Times New Roman" w:hAnsi="Times New Roman" w:cs="Times New Roman"/>
        </w:rPr>
        <w:t>Litxia Barrett</w:t>
      </w:r>
    </w:p>
    <w:p w14:paraId="29E79DEB" w14:textId="77777777" w:rsidR="000B67A6" w:rsidRPr="00344830" w:rsidRDefault="000B67A6" w:rsidP="000B67A6">
      <w:pPr>
        <w:spacing w:line="480" w:lineRule="auto"/>
        <w:jc w:val="center"/>
        <w:rPr>
          <w:rFonts w:ascii="Times New Roman" w:hAnsi="Times New Roman" w:cs="Times New Roman"/>
        </w:rPr>
      </w:pPr>
      <w:r w:rsidRPr="00344830">
        <w:rPr>
          <w:rFonts w:ascii="Times New Roman" w:hAnsi="Times New Roman" w:cs="Times New Roman"/>
        </w:rPr>
        <w:t>PAH 510: Global Health</w:t>
      </w:r>
    </w:p>
    <w:p w14:paraId="35A21CC2" w14:textId="77777777" w:rsidR="000B67A6" w:rsidRPr="00344830" w:rsidRDefault="000B67A6" w:rsidP="000B67A6">
      <w:pPr>
        <w:spacing w:line="480" w:lineRule="auto"/>
        <w:jc w:val="center"/>
        <w:rPr>
          <w:rFonts w:ascii="Times New Roman" w:hAnsi="Times New Roman" w:cs="Times New Roman"/>
        </w:rPr>
      </w:pPr>
      <w:r w:rsidRPr="00344830">
        <w:rPr>
          <w:rFonts w:ascii="Times New Roman" w:hAnsi="Times New Roman" w:cs="Times New Roman"/>
        </w:rPr>
        <w:t>Professor: Dr. Neal Wallace</w:t>
      </w:r>
    </w:p>
    <w:p w14:paraId="273616E5" w14:textId="77777777" w:rsidR="000B67A6" w:rsidRPr="00344830" w:rsidRDefault="000B67A6" w:rsidP="000B67A6">
      <w:pPr>
        <w:spacing w:line="480" w:lineRule="auto"/>
        <w:jc w:val="center"/>
        <w:rPr>
          <w:rFonts w:ascii="Times New Roman" w:hAnsi="Times New Roman" w:cs="Times New Roman"/>
        </w:rPr>
      </w:pPr>
      <w:r w:rsidRPr="00344830">
        <w:rPr>
          <w:rFonts w:ascii="Times New Roman" w:hAnsi="Times New Roman" w:cs="Times New Roman"/>
        </w:rPr>
        <w:t>Healthcare System Synopsis of the Netherlands, Norway, and Cambodia</w:t>
      </w:r>
    </w:p>
    <w:p w14:paraId="61190F8E" w14:textId="77777777" w:rsidR="000B67A6" w:rsidRPr="00344830" w:rsidRDefault="000B67A6" w:rsidP="000B67A6">
      <w:pPr>
        <w:spacing w:line="480" w:lineRule="auto"/>
        <w:jc w:val="center"/>
        <w:rPr>
          <w:rFonts w:ascii="Times New Roman" w:hAnsi="Times New Roman" w:cs="Times New Roman"/>
        </w:rPr>
      </w:pPr>
      <w:r w:rsidRPr="00344830">
        <w:rPr>
          <w:rFonts w:ascii="Times New Roman" w:hAnsi="Times New Roman" w:cs="Times New Roman"/>
        </w:rPr>
        <w:t>April 11, 2016</w:t>
      </w:r>
    </w:p>
    <w:p w14:paraId="1976958D" w14:textId="77777777" w:rsidR="000B67A6" w:rsidRPr="00344830" w:rsidRDefault="000B67A6">
      <w:pPr>
        <w:rPr>
          <w:rFonts w:ascii="Times New Roman" w:hAnsi="Times New Roman" w:cs="Times New Roman"/>
        </w:rPr>
      </w:pPr>
    </w:p>
    <w:p w14:paraId="75540954" w14:textId="77777777" w:rsidR="000B67A6" w:rsidRPr="00344830" w:rsidRDefault="000B67A6">
      <w:pPr>
        <w:rPr>
          <w:rFonts w:ascii="Times New Roman" w:hAnsi="Times New Roman" w:cs="Times New Roman"/>
        </w:rPr>
      </w:pPr>
    </w:p>
    <w:p w14:paraId="33F6C3D1" w14:textId="77777777" w:rsidR="000B67A6" w:rsidRPr="00344830" w:rsidRDefault="000B67A6">
      <w:pPr>
        <w:rPr>
          <w:rFonts w:ascii="Times New Roman" w:hAnsi="Times New Roman" w:cs="Times New Roman"/>
        </w:rPr>
      </w:pPr>
    </w:p>
    <w:p w14:paraId="1CC2FCC6" w14:textId="77777777" w:rsidR="000B67A6" w:rsidRPr="00344830" w:rsidRDefault="000B67A6">
      <w:pPr>
        <w:rPr>
          <w:rFonts w:ascii="Times New Roman" w:hAnsi="Times New Roman" w:cs="Times New Roman"/>
        </w:rPr>
      </w:pPr>
    </w:p>
    <w:p w14:paraId="7F67F538" w14:textId="77777777" w:rsidR="000B67A6" w:rsidRPr="00344830" w:rsidRDefault="000B67A6">
      <w:pPr>
        <w:rPr>
          <w:rFonts w:ascii="Times New Roman" w:hAnsi="Times New Roman" w:cs="Times New Roman"/>
        </w:rPr>
      </w:pPr>
    </w:p>
    <w:p w14:paraId="52375583" w14:textId="77777777" w:rsidR="000B67A6" w:rsidRPr="00344830" w:rsidRDefault="000B67A6">
      <w:pPr>
        <w:rPr>
          <w:rFonts w:ascii="Times New Roman" w:hAnsi="Times New Roman" w:cs="Times New Roman"/>
        </w:rPr>
      </w:pPr>
    </w:p>
    <w:p w14:paraId="2FD85948" w14:textId="77777777" w:rsidR="000B67A6" w:rsidRPr="00344830" w:rsidRDefault="000B67A6">
      <w:pPr>
        <w:rPr>
          <w:rFonts w:ascii="Times New Roman" w:hAnsi="Times New Roman" w:cs="Times New Roman"/>
        </w:rPr>
      </w:pPr>
    </w:p>
    <w:p w14:paraId="19E5FF11" w14:textId="77777777" w:rsidR="000B67A6" w:rsidRPr="00344830" w:rsidRDefault="000B67A6">
      <w:pPr>
        <w:rPr>
          <w:rFonts w:ascii="Times New Roman" w:hAnsi="Times New Roman" w:cs="Times New Roman"/>
        </w:rPr>
      </w:pPr>
    </w:p>
    <w:p w14:paraId="2776F5D6" w14:textId="77777777" w:rsidR="000B67A6" w:rsidRPr="00344830" w:rsidRDefault="000B67A6">
      <w:pPr>
        <w:rPr>
          <w:rFonts w:ascii="Times New Roman" w:hAnsi="Times New Roman" w:cs="Times New Roman"/>
        </w:rPr>
      </w:pPr>
    </w:p>
    <w:p w14:paraId="19C1D13C" w14:textId="77777777" w:rsidR="000B67A6" w:rsidRPr="00344830" w:rsidRDefault="000B67A6">
      <w:pPr>
        <w:rPr>
          <w:rFonts w:ascii="Times New Roman" w:hAnsi="Times New Roman" w:cs="Times New Roman"/>
        </w:rPr>
      </w:pPr>
    </w:p>
    <w:p w14:paraId="3B84B101" w14:textId="77777777" w:rsidR="000B67A6" w:rsidRPr="00344830" w:rsidRDefault="000B67A6">
      <w:pPr>
        <w:rPr>
          <w:rFonts w:ascii="Times New Roman" w:hAnsi="Times New Roman" w:cs="Times New Roman"/>
        </w:rPr>
      </w:pPr>
    </w:p>
    <w:p w14:paraId="6C8754C5" w14:textId="77777777" w:rsidR="000B67A6" w:rsidRPr="00344830" w:rsidRDefault="000B67A6">
      <w:pPr>
        <w:rPr>
          <w:rFonts w:ascii="Times New Roman" w:hAnsi="Times New Roman" w:cs="Times New Roman"/>
        </w:rPr>
      </w:pPr>
    </w:p>
    <w:p w14:paraId="1ECBE881" w14:textId="77777777" w:rsidR="000B67A6" w:rsidRPr="00344830" w:rsidRDefault="000B67A6">
      <w:pPr>
        <w:rPr>
          <w:rFonts w:ascii="Times New Roman" w:hAnsi="Times New Roman" w:cs="Times New Roman"/>
        </w:rPr>
      </w:pPr>
    </w:p>
    <w:p w14:paraId="0FA355BD" w14:textId="77777777" w:rsidR="000B67A6" w:rsidRPr="00344830" w:rsidRDefault="000B67A6">
      <w:pPr>
        <w:rPr>
          <w:rFonts w:ascii="Times New Roman" w:hAnsi="Times New Roman" w:cs="Times New Roman"/>
        </w:rPr>
      </w:pPr>
    </w:p>
    <w:p w14:paraId="081CE1F8" w14:textId="77777777" w:rsidR="000B67A6" w:rsidRPr="00344830" w:rsidRDefault="000B67A6">
      <w:pPr>
        <w:rPr>
          <w:rFonts w:ascii="Times New Roman" w:hAnsi="Times New Roman" w:cs="Times New Roman"/>
        </w:rPr>
      </w:pPr>
    </w:p>
    <w:p w14:paraId="5715A44F" w14:textId="77777777" w:rsidR="000B67A6" w:rsidRPr="00344830" w:rsidRDefault="000B67A6">
      <w:pPr>
        <w:rPr>
          <w:rFonts w:ascii="Times New Roman" w:hAnsi="Times New Roman" w:cs="Times New Roman"/>
        </w:rPr>
      </w:pPr>
    </w:p>
    <w:p w14:paraId="7A834213" w14:textId="77777777" w:rsidR="00311EB7" w:rsidRPr="00344830" w:rsidRDefault="00311EB7" w:rsidP="000B67A6">
      <w:pPr>
        <w:jc w:val="center"/>
        <w:rPr>
          <w:rFonts w:ascii="Times New Roman" w:hAnsi="Times New Roman" w:cs="Times New Roman"/>
          <w:b/>
        </w:rPr>
      </w:pPr>
    </w:p>
    <w:p w14:paraId="34587903" w14:textId="77777777" w:rsidR="00311EB7" w:rsidRPr="00344830" w:rsidRDefault="00311EB7" w:rsidP="000B67A6">
      <w:pPr>
        <w:jc w:val="center"/>
        <w:rPr>
          <w:rFonts w:ascii="Times New Roman" w:hAnsi="Times New Roman" w:cs="Times New Roman"/>
          <w:b/>
        </w:rPr>
      </w:pPr>
    </w:p>
    <w:p w14:paraId="744D53E5" w14:textId="77777777" w:rsidR="000B67A6" w:rsidRPr="00344830" w:rsidRDefault="000B67A6" w:rsidP="000B67A6">
      <w:pPr>
        <w:jc w:val="center"/>
        <w:rPr>
          <w:rFonts w:ascii="Times New Roman" w:hAnsi="Times New Roman" w:cs="Times New Roman"/>
          <w:b/>
        </w:rPr>
      </w:pPr>
      <w:r w:rsidRPr="00344830">
        <w:rPr>
          <w:rFonts w:ascii="Times New Roman" w:hAnsi="Times New Roman" w:cs="Times New Roman"/>
          <w:b/>
        </w:rPr>
        <w:lastRenderedPageBreak/>
        <w:t>The Netherlands</w:t>
      </w:r>
    </w:p>
    <w:p w14:paraId="5598794B" w14:textId="35064FFF" w:rsidR="000B67A6" w:rsidRPr="00344830" w:rsidRDefault="00591B9A" w:rsidP="000B67A6">
      <w:pPr>
        <w:rPr>
          <w:rFonts w:ascii="Times New Roman" w:hAnsi="Times New Roman" w:cs="Times New Roman"/>
          <w:b/>
        </w:rPr>
      </w:pPr>
      <w:r w:rsidRPr="00344830">
        <w:rPr>
          <w:rFonts w:ascii="Times New Roman" w:hAnsi="Times New Roman" w:cs="Times New Roman"/>
          <w:b/>
        </w:rPr>
        <w:t>Healthcare Coverage</w:t>
      </w:r>
    </w:p>
    <w:p w14:paraId="14511047" w14:textId="025EF467" w:rsidR="00591B9A" w:rsidRPr="00344830" w:rsidRDefault="00591B9A" w:rsidP="00591B9A">
      <w:pPr>
        <w:jc w:val="both"/>
        <w:rPr>
          <w:rFonts w:ascii="Times New Roman" w:hAnsi="Times New Roman" w:cs="Times New Roman"/>
        </w:rPr>
      </w:pPr>
      <w:r w:rsidRPr="00344830">
        <w:rPr>
          <w:rFonts w:ascii="Times New Roman" w:hAnsi="Times New Roman" w:cs="Times New Roman"/>
          <w:b/>
        </w:rPr>
        <w:tab/>
      </w:r>
      <w:r w:rsidR="00C06CE1" w:rsidRPr="00344830">
        <w:rPr>
          <w:rFonts w:ascii="Times New Roman" w:hAnsi="Times New Roman" w:cs="Times New Roman"/>
        </w:rPr>
        <w:t xml:space="preserve">Under the Health Insurance Act of 2006, statutory coverage is provided by private insurers </w:t>
      </w:r>
      <w:r w:rsidR="00775CBD" w:rsidRPr="00344830">
        <w:rPr>
          <w:rFonts w:ascii="Times New Roman" w:hAnsi="Times New Roman" w:cs="Times New Roman"/>
        </w:rPr>
        <w:t>and regulated under public law (The Commonwealth Fund, 2015, p. 93). The National Health Care institute advises the government to define the statutory benefits package and health insurers are legally required to provide a benefits package. This package includes medical care, hospitals, specialists, midwives, dental care, medical aids and devices, prescription drugs, maternity care, ambulance and patient transport services, paramedical care, basic ambulatory mental health care for mild to m</w:t>
      </w:r>
      <w:r w:rsidR="00402BB8">
        <w:rPr>
          <w:rFonts w:ascii="Times New Roman" w:hAnsi="Times New Roman" w:cs="Times New Roman"/>
        </w:rPr>
        <w:t xml:space="preserve">oderate mental health disorders, </w:t>
      </w:r>
      <w:r w:rsidR="00775CBD" w:rsidRPr="00344830">
        <w:rPr>
          <w:rFonts w:ascii="Times New Roman" w:hAnsi="Times New Roman" w:cs="Times New Roman"/>
        </w:rPr>
        <w:t>and specialized outpatient and inpatient mental care for severe a</w:t>
      </w:r>
      <w:r w:rsidR="00402BB8">
        <w:rPr>
          <w:rFonts w:ascii="Times New Roman" w:hAnsi="Times New Roman" w:cs="Times New Roman"/>
        </w:rPr>
        <w:t xml:space="preserve">nd complicated mental disorders </w:t>
      </w:r>
      <w:r w:rsidR="00775CBD" w:rsidRPr="00344830">
        <w:rPr>
          <w:rFonts w:ascii="Times New Roman" w:hAnsi="Times New Roman" w:cs="Times New Roman"/>
        </w:rPr>
        <w:t>(The Commonwealth Fund, 2015, p. 93). Optometry is excluded and dental care is only provided until the age of 18 after which services are limited to specialist dental care and dentures. Smoking cessation and weight management is also covered, but limited to three hours per year and are the only health improvement programs (The Commonwealth Fund, 2015, p. 93-94).</w:t>
      </w:r>
    </w:p>
    <w:p w14:paraId="4B3E6DC7" w14:textId="2FF6D2EB" w:rsidR="00591B9A" w:rsidRPr="00344830" w:rsidRDefault="00591B9A" w:rsidP="000B67A6">
      <w:pPr>
        <w:rPr>
          <w:rFonts w:ascii="Times New Roman" w:hAnsi="Times New Roman" w:cs="Times New Roman"/>
          <w:b/>
        </w:rPr>
      </w:pPr>
      <w:r w:rsidRPr="00344830">
        <w:rPr>
          <w:rFonts w:ascii="Times New Roman" w:hAnsi="Times New Roman" w:cs="Times New Roman"/>
          <w:b/>
        </w:rPr>
        <w:t>Population Covered</w:t>
      </w:r>
    </w:p>
    <w:p w14:paraId="55D0ACF4" w14:textId="746049CD" w:rsidR="00C47BCA" w:rsidRPr="00344830" w:rsidRDefault="00C47BCA" w:rsidP="00C47BCA">
      <w:pPr>
        <w:pStyle w:val="NormalWeb"/>
        <w:spacing w:before="0" w:beforeAutospacing="0" w:after="0" w:afterAutospacing="0"/>
        <w:ind w:firstLine="720"/>
        <w:textAlignment w:val="baseline"/>
        <w:rPr>
          <w:sz w:val="22"/>
          <w:szCs w:val="22"/>
        </w:rPr>
      </w:pPr>
      <w:r w:rsidRPr="00344830">
        <w:rPr>
          <w:rFonts w:eastAsiaTheme="minorHAnsi"/>
          <w:sz w:val="22"/>
          <w:szCs w:val="22"/>
        </w:rPr>
        <w:t xml:space="preserve">In 2006, all residents and nonresidents who pay Dutch income tax are mandated to purchase statutory health insurance from private insurers. Active members of the armed force and people who conscientiously object to insurance are exempt. Insurers are required to accept all applicants and enrollees have the right to change insurer each year. About 2% of the population failed to pay their premium or defaulted for at least six months. Asylum seekers </w:t>
      </w:r>
      <w:r w:rsidR="00402BB8">
        <w:rPr>
          <w:rFonts w:eastAsiaTheme="minorHAnsi"/>
          <w:sz w:val="22"/>
          <w:szCs w:val="22"/>
        </w:rPr>
        <w:t>and</w:t>
      </w:r>
      <w:r w:rsidRPr="00344830">
        <w:rPr>
          <w:rFonts w:eastAsiaTheme="minorHAnsi"/>
          <w:sz w:val="22"/>
          <w:szCs w:val="22"/>
        </w:rPr>
        <w:t xml:space="preserve"> ill</w:t>
      </w:r>
      <w:r w:rsidR="00402BB8">
        <w:rPr>
          <w:rFonts w:eastAsiaTheme="minorHAnsi"/>
          <w:sz w:val="22"/>
          <w:szCs w:val="22"/>
        </w:rPr>
        <w:t>egal immigrants are also covered by the government</w:t>
      </w:r>
      <w:r w:rsidRPr="00344830">
        <w:rPr>
          <w:rFonts w:eastAsiaTheme="minorHAnsi"/>
          <w:sz w:val="22"/>
          <w:szCs w:val="22"/>
        </w:rPr>
        <w:t xml:space="preserve">. There are mechanisms in place to reimburse the health care costs of illegal immigrants. Permanent residents less than three months are required to purchase private insurance coverage and visitors are required to purchase insurance for the duration of their visit if they are not covered by their home country </w:t>
      </w:r>
      <w:r w:rsidRPr="00344830">
        <w:rPr>
          <w:sz w:val="22"/>
          <w:szCs w:val="22"/>
        </w:rPr>
        <w:t>(The Commonwealth Fund, 2015, p. 93-94).</w:t>
      </w:r>
    </w:p>
    <w:p w14:paraId="61F31BEA" w14:textId="77777777" w:rsidR="00C47BCA" w:rsidRPr="00344830" w:rsidRDefault="00C47BCA" w:rsidP="00C47BCA">
      <w:pPr>
        <w:pStyle w:val="NormalWeb"/>
        <w:spacing w:before="0" w:beforeAutospacing="0" w:after="0" w:afterAutospacing="0"/>
        <w:ind w:firstLine="720"/>
        <w:textAlignment w:val="baseline"/>
        <w:rPr>
          <w:rFonts w:eastAsiaTheme="minorHAnsi"/>
          <w:sz w:val="22"/>
          <w:szCs w:val="22"/>
        </w:rPr>
      </w:pPr>
    </w:p>
    <w:p w14:paraId="3D0AC9B4" w14:textId="77777777" w:rsidR="00311EB7" w:rsidRPr="00344830" w:rsidRDefault="00591B9A" w:rsidP="00311EB7">
      <w:pPr>
        <w:rPr>
          <w:rFonts w:ascii="Times New Roman" w:hAnsi="Times New Roman" w:cs="Times New Roman"/>
          <w:b/>
        </w:rPr>
      </w:pPr>
      <w:r w:rsidRPr="00344830">
        <w:rPr>
          <w:rFonts w:ascii="Times New Roman" w:hAnsi="Times New Roman" w:cs="Times New Roman"/>
          <w:b/>
        </w:rPr>
        <w:t xml:space="preserve">Healthcare Financial System </w:t>
      </w:r>
    </w:p>
    <w:p w14:paraId="2A45F797" w14:textId="460B9E05" w:rsidR="000C3BA7" w:rsidRPr="00344830" w:rsidRDefault="00311EB7" w:rsidP="000C3BA7">
      <w:pPr>
        <w:ind w:firstLine="720"/>
        <w:rPr>
          <w:rFonts w:ascii="Times New Roman" w:hAnsi="Times New Roman" w:cs="Times New Roman"/>
          <w:b/>
        </w:rPr>
      </w:pPr>
      <w:r w:rsidRPr="00344830">
        <w:rPr>
          <w:rFonts w:ascii="Times New Roman" w:hAnsi="Times New Roman" w:cs="Times New Roman"/>
        </w:rPr>
        <w:t>The payment system is mixed with public and private systems of payment. The public system is the statutory health insurance system and is financed under the Health Insurance Act through a nationally defined, income-related contribution, a government grant for minors (under the age of 18), and community-rated premiums set by each insurer. The income-related contribution is set at 7.75% of annual taxable income</w:t>
      </w:r>
      <w:r w:rsidR="000C3BA7" w:rsidRPr="00344830">
        <w:rPr>
          <w:rFonts w:ascii="Times New Roman" w:hAnsi="Times New Roman" w:cs="Times New Roman"/>
        </w:rPr>
        <w:t>.</w:t>
      </w:r>
      <w:r w:rsidRPr="00344830">
        <w:rPr>
          <w:rFonts w:ascii="Times New Roman" w:hAnsi="Times New Roman" w:cs="Times New Roman"/>
        </w:rPr>
        <w:t xml:space="preserve"> Employers reimburse employees for this contribution and employees pay tax on this reimbursement. This tax is 5.4% for the self-employed individuals. The insurance</w:t>
      </w:r>
      <w:r w:rsidR="00585166">
        <w:rPr>
          <w:rFonts w:ascii="Times New Roman" w:hAnsi="Times New Roman" w:cs="Times New Roman"/>
        </w:rPr>
        <w:t xml:space="preserve"> market has four main insurers </w:t>
      </w:r>
      <w:r w:rsidRPr="00344830">
        <w:rPr>
          <w:rFonts w:ascii="Times New Roman" w:hAnsi="Times New Roman" w:cs="Times New Roman"/>
        </w:rPr>
        <w:t>which account for about 95% of all enrollees. In 2011, total healthcare spend</w:t>
      </w:r>
      <w:r w:rsidR="00585166">
        <w:rPr>
          <w:rFonts w:ascii="Times New Roman" w:hAnsi="Times New Roman" w:cs="Times New Roman"/>
        </w:rPr>
        <w:t>ing accounted for 12.1% of the G</w:t>
      </w:r>
      <w:r w:rsidRPr="00344830">
        <w:rPr>
          <w:rFonts w:ascii="Times New Roman" w:hAnsi="Times New Roman" w:cs="Times New Roman"/>
        </w:rPr>
        <w:t>DP. The private health system includes voluntary insurance coverage benefits like dental care, alternative medicine, physiotherapy, spectacles and lenses, contraceptives, and the full cost of copayment for medicines. Insurance premiums and products are not regulated and insurance companies are allowed to screen based on risk factors (The Commonwealth Fund, 2015, p. 95).</w:t>
      </w:r>
      <w:r w:rsidR="002E27CF" w:rsidRPr="00344830">
        <w:rPr>
          <w:rFonts w:ascii="Times New Roman" w:hAnsi="Times New Roman" w:cs="Times New Roman"/>
          <w:b/>
        </w:rPr>
        <w:t xml:space="preserve"> </w:t>
      </w:r>
      <w:r w:rsidRPr="00344830">
        <w:rPr>
          <w:rFonts w:ascii="Times New Roman" w:hAnsi="Times New Roman" w:cs="Times New Roman"/>
        </w:rPr>
        <w:t>Every insured person over age 18 has to pay an annual deductible of about $436 in U.S. dollars for healthcare</w:t>
      </w:r>
      <w:r w:rsidR="002E27CF" w:rsidRPr="00344830">
        <w:rPr>
          <w:rFonts w:ascii="Times New Roman" w:hAnsi="Times New Roman" w:cs="Times New Roman"/>
        </w:rPr>
        <w:t xml:space="preserve"> costs including most services. </w:t>
      </w:r>
      <w:r w:rsidRPr="00344830">
        <w:rPr>
          <w:rFonts w:ascii="Times New Roman" w:hAnsi="Times New Roman" w:cs="Times New Roman"/>
        </w:rPr>
        <w:t>The government pays for children’s covers up to 18 years of age and provides subsidies to over community-rated premiums for low-income families (approximately less</w:t>
      </w:r>
      <w:r w:rsidR="002E27CF" w:rsidRPr="00344830">
        <w:rPr>
          <w:rFonts w:ascii="Times New Roman" w:hAnsi="Times New Roman" w:cs="Times New Roman"/>
        </w:rPr>
        <w:t xml:space="preserve"> than $34,405 in U.S. dollars). </w:t>
      </w:r>
      <w:r w:rsidRPr="00344830">
        <w:rPr>
          <w:rFonts w:ascii="Times New Roman" w:hAnsi="Times New Roman" w:cs="Times New Roman"/>
        </w:rPr>
        <w:t>About 5 million pe</w:t>
      </w:r>
      <w:r w:rsidR="000C3BA7" w:rsidRPr="00344830">
        <w:rPr>
          <w:rFonts w:ascii="Times New Roman" w:hAnsi="Times New Roman" w:cs="Times New Roman"/>
        </w:rPr>
        <w:t xml:space="preserve">ople receive this allowance and </w:t>
      </w:r>
      <w:r w:rsidR="002E27CF" w:rsidRPr="00344830">
        <w:rPr>
          <w:rFonts w:ascii="Times New Roman" w:hAnsi="Times New Roman" w:cs="Times New Roman"/>
        </w:rPr>
        <w:t xml:space="preserve">are subject to asset testing. </w:t>
      </w:r>
      <w:r w:rsidRPr="00344830">
        <w:rPr>
          <w:rFonts w:ascii="Times New Roman" w:hAnsi="Times New Roman" w:cs="Times New Roman"/>
        </w:rPr>
        <w:t>The allowance is set on a sliding scale fee. Providers are not allowed to</w:t>
      </w:r>
      <w:r w:rsidR="00A71429" w:rsidRPr="00344830">
        <w:rPr>
          <w:rFonts w:ascii="Times New Roman" w:hAnsi="Times New Roman" w:cs="Times New Roman"/>
        </w:rPr>
        <w:t xml:space="preserve"> charge above the fee schedule (The Commonwealth Fund, 2015, p. 94).</w:t>
      </w:r>
      <w:r w:rsidR="00A71429" w:rsidRPr="00344830">
        <w:rPr>
          <w:rFonts w:ascii="Times New Roman" w:hAnsi="Times New Roman" w:cs="Times New Roman"/>
          <w:b/>
        </w:rPr>
        <w:t xml:space="preserve"> </w:t>
      </w:r>
      <w:r w:rsidRPr="00344830">
        <w:rPr>
          <w:rFonts w:ascii="Times New Roman" w:hAnsi="Times New Roman" w:cs="Times New Roman"/>
        </w:rPr>
        <w:t xml:space="preserve">To incentivize care coordination, bundled payments are present for some chronic diseases such as diabetes and cardiovascular risk management. Annual deductibles for cost-sharing and out-of-pocket spending is paid to the insurer. The insured have the option of paying before or after health care use and can pay at once or make installments. </w:t>
      </w:r>
    </w:p>
    <w:p w14:paraId="3F970BD0" w14:textId="7AF6386D" w:rsidR="00561D32" w:rsidRPr="00344830" w:rsidRDefault="000C3BA7" w:rsidP="000C3BA7">
      <w:pPr>
        <w:rPr>
          <w:rFonts w:ascii="Times New Roman" w:hAnsi="Times New Roman" w:cs="Times New Roman"/>
          <w:b/>
        </w:rPr>
      </w:pPr>
      <w:r w:rsidRPr="00344830">
        <w:rPr>
          <w:rFonts w:ascii="Times New Roman" w:hAnsi="Times New Roman" w:cs="Times New Roman"/>
          <w:b/>
        </w:rPr>
        <w:lastRenderedPageBreak/>
        <w:t>Point of Access</w:t>
      </w:r>
      <w:r w:rsidR="00561D32" w:rsidRPr="00344830">
        <w:rPr>
          <w:rFonts w:ascii="Times New Roman" w:hAnsi="Times New Roman" w:cs="Times New Roman"/>
          <w:b/>
        </w:rPr>
        <w:tab/>
      </w:r>
    </w:p>
    <w:p w14:paraId="2D24E1C6" w14:textId="764AD968" w:rsidR="000C3BA7" w:rsidRPr="00344830" w:rsidRDefault="000C3BA7" w:rsidP="000C3BA7">
      <w:pPr>
        <w:rPr>
          <w:rFonts w:ascii="Times New Roman" w:hAnsi="Times New Roman" w:cs="Times New Roman"/>
          <w:b/>
        </w:rPr>
      </w:pPr>
      <w:r w:rsidRPr="00344830">
        <w:rPr>
          <w:rFonts w:ascii="Times New Roman" w:hAnsi="Times New Roman" w:cs="Times New Roman"/>
          <w:b/>
        </w:rPr>
        <w:tab/>
      </w:r>
      <w:r w:rsidRPr="00344830">
        <w:rPr>
          <w:rFonts w:ascii="Times New Roman" w:hAnsi="Times New Roman" w:cs="Times New Roman"/>
        </w:rPr>
        <w:t xml:space="preserve">The main point of access for healthcare is the government. The Ministry of Health regulates and supervises; the National Health care Institute advises the government on benefits packages, then the insurance companies are the point of access to healthcare services for the insured. </w:t>
      </w:r>
    </w:p>
    <w:p w14:paraId="428E8F9B" w14:textId="2409F044" w:rsidR="00591B9A" w:rsidRPr="00344830" w:rsidRDefault="00591B9A" w:rsidP="00561D32">
      <w:pPr>
        <w:rPr>
          <w:rFonts w:ascii="Times New Roman" w:hAnsi="Times New Roman" w:cs="Times New Roman"/>
          <w:b/>
        </w:rPr>
      </w:pPr>
      <w:r w:rsidRPr="00344830">
        <w:rPr>
          <w:rFonts w:ascii="Times New Roman" w:hAnsi="Times New Roman" w:cs="Times New Roman"/>
          <w:b/>
        </w:rPr>
        <w:t>System Strengths</w:t>
      </w:r>
    </w:p>
    <w:p w14:paraId="175DF76B" w14:textId="5136404F" w:rsidR="000C3BA7" w:rsidRPr="00344830" w:rsidRDefault="00F66999" w:rsidP="000C3BA7">
      <w:pPr>
        <w:pStyle w:val="NormalWeb"/>
        <w:spacing w:before="0" w:beforeAutospacing="0" w:after="0" w:afterAutospacing="0"/>
        <w:ind w:firstLine="720"/>
        <w:textAlignment w:val="baseline"/>
        <w:rPr>
          <w:sz w:val="22"/>
          <w:szCs w:val="22"/>
        </w:rPr>
      </w:pPr>
      <w:r w:rsidRPr="00344830">
        <w:rPr>
          <w:rFonts w:eastAsiaTheme="minorHAnsi"/>
          <w:sz w:val="22"/>
          <w:szCs w:val="22"/>
        </w:rPr>
        <w:t>There are a few system strengths for the Dutch health care system. First, t</w:t>
      </w:r>
      <w:r w:rsidR="000C3BA7" w:rsidRPr="00344830">
        <w:rPr>
          <w:rFonts w:eastAsiaTheme="minorHAnsi"/>
          <w:sz w:val="22"/>
          <w:szCs w:val="22"/>
        </w:rPr>
        <w:t>here are more options for the population with not just one insurance option.</w:t>
      </w:r>
      <w:r w:rsidRPr="00344830">
        <w:rPr>
          <w:rFonts w:eastAsiaTheme="minorHAnsi"/>
          <w:sz w:val="22"/>
          <w:szCs w:val="22"/>
        </w:rPr>
        <w:t xml:space="preserve"> Second,</w:t>
      </w:r>
      <w:r w:rsidR="000C3BA7" w:rsidRPr="00344830">
        <w:rPr>
          <w:rFonts w:eastAsiaTheme="minorHAnsi"/>
          <w:sz w:val="22"/>
          <w:szCs w:val="22"/>
        </w:rPr>
        <w:t xml:space="preserve"> </w:t>
      </w:r>
      <w:r w:rsidRPr="00344830">
        <w:rPr>
          <w:rFonts w:eastAsiaTheme="minorHAnsi"/>
          <w:sz w:val="22"/>
          <w:szCs w:val="22"/>
        </w:rPr>
        <w:t>b</w:t>
      </w:r>
      <w:r w:rsidR="000C3BA7" w:rsidRPr="00344830">
        <w:rPr>
          <w:rFonts w:eastAsiaTheme="minorHAnsi"/>
          <w:sz w:val="22"/>
          <w:szCs w:val="22"/>
        </w:rPr>
        <w:t xml:space="preserve">undled payments are an option and this can lead to better healthcare delivery if it has the right regulations in place. </w:t>
      </w:r>
      <w:r w:rsidRPr="00344830">
        <w:rPr>
          <w:rFonts w:eastAsiaTheme="minorHAnsi"/>
          <w:sz w:val="22"/>
          <w:szCs w:val="22"/>
        </w:rPr>
        <w:t>The b</w:t>
      </w:r>
      <w:r w:rsidR="000C3BA7" w:rsidRPr="00344830">
        <w:rPr>
          <w:rFonts w:eastAsiaTheme="minorHAnsi"/>
          <w:sz w:val="22"/>
          <w:szCs w:val="22"/>
        </w:rPr>
        <w:t xml:space="preserve">undled-payment approach to integrated chronic care </w:t>
      </w:r>
      <w:r w:rsidRPr="00344830">
        <w:rPr>
          <w:rFonts w:eastAsiaTheme="minorHAnsi"/>
          <w:sz w:val="22"/>
          <w:szCs w:val="22"/>
        </w:rPr>
        <w:t xml:space="preserve">is </w:t>
      </w:r>
      <w:r w:rsidR="000C3BA7" w:rsidRPr="00344830">
        <w:rPr>
          <w:rFonts w:eastAsiaTheme="minorHAnsi"/>
          <w:sz w:val="22"/>
          <w:szCs w:val="22"/>
        </w:rPr>
        <w:t xml:space="preserve">applied nationwide for diabetes, chronic obstructive pulmonary disease, and cardiovascular risk management </w:t>
      </w:r>
      <w:r w:rsidR="000C3BA7" w:rsidRPr="00344830">
        <w:rPr>
          <w:sz w:val="22"/>
          <w:szCs w:val="22"/>
        </w:rPr>
        <w:t xml:space="preserve">(The Commonwealth Fund, 2015, p. 99). </w:t>
      </w:r>
      <w:r w:rsidRPr="00344830">
        <w:rPr>
          <w:sz w:val="22"/>
          <w:szCs w:val="22"/>
        </w:rPr>
        <w:t>This can improve healthcare results, again, with the right regulations in place in order to provide a more holistic approach.</w:t>
      </w:r>
    </w:p>
    <w:p w14:paraId="11DDCF86" w14:textId="77777777" w:rsidR="000C3BA7" w:rsidRPr="00344830" w:rsidRDefault="000C3BA7" w:rsidP="000C3BA7">
      <w:pPr>
        <w:pStyle w:val="NormalWeb"/>
        <w:spacing w:before="0" w:beforeAutospacing="0" w:after="0" w:afterAutospacing="0"/>
        <w:ind w:firstLine="720"/>
        <w:textAlignment w:val="baseline"/>
        <w:rPr>
          <w:rFonts w:eastAsiaTheme="minorHAnsi"/>
          <w:sz w:val="22"/>
          <w:szCs w:val="22"/>
        </w:rPr>
      </w:pPr>
    </w:p>
    <w:p w14:paraId="72280AF7" w14:textId="76F33381" w:rsidR="00591B9A" w:rsidRPr="00344830" w:rsidRDefault="00591B9A" w:rsidP="000B67A6">
      <w:pPr>
        <w:rPr>
          <w:rFonts w:ascii="Times New Roman" w:hAnsi="Times New Roman" w:cs="Times New Roman"/>
          <w:b/>
        </w:rPr>
      </w:pPr>
      <w:r w:rsidRPr="00344830">
        <w:rPr>
          <w:rFonts w:ascii="Times New Roman" w:hAnsi="Times New Roman" w:cs="Times New Roman"/>
          <w:b/>
        </w:rPr>
        <w:t>System Weaknesses</w:t>
      </w:r>
    </w:p>
    <w:p w14:paraId="4F814CD9" w14:textId="2E501BB9" w:rsidR="000C3BA7" w:rsidRDefault="004D4EC1" w:rsidP="00585166">
      <w:pPr>
        <w:pStyle w:val="NormalWeb"/>
        <w:spacing w:before="0" w:beforeAutospacing="0" w:after="0" w:afterAutospacing="0"/>
        <w:ind w:firstLine="720"/>
        <w:textAlignment w:val="baseline"/>
        <w:rPr>
          <w:rFonts w:eastAsiaTheme="minorHAnsi"/>
          <w:sz w:val="22"/>
          <w:szCs w:val="22"/>
        </w:rPr>
      </w:pPr>
      <w:r w:rsidRPr="00344830">
        <w:rPr>
          <w:rFonts w:eastAsiaTheme="minorHAnsi"/>
          <w:sz w:val="22"/>
          <w:szCs w:val="22"/>
        </w:rPr>
        <w:t>Some healthcare system weaknesses include similarities to the</w:t>
      </w:r>
      <w:r w:rsidR="000C3BA7" w:rsidRPr="00344830">
        <w:rPr>
          <w:rFonts w:eastAsiaTheme="minorHAnsi"/>
          <w:sz w:val="22"/>
          <w:szCs w:val="22"/>
        </w:rPr>
        <w:t xml:space="preserve"> U.S. health insurance system, </w:t>
      </w:r>
      <w:r w:rsidRPr="00344830">
        <w:rPr>
          <w:rFonts w:eastAsiaTheme="minorHAnsi"/>
          <w:sz w:val="22"/>
          <w:szCs w:val="22"/>
        </w:rPr>
        <w:t xml:space="preserve">because </w:t>
      </w:r>
      <w:r w:rsidR="000C3BA7" w:rsidRPr="00344830">
        <w:rPr>
          <w:rFonts w:eastAsiaTheme="minorHAnsi"/>
          <w:sz w:val="22"/>
          <w:szCs w:val="22"/>
        </w:rPr>
        <w:t xml:space="preserve">insurers are allowed to screen for risk factors, meaning there can be more adverse selection. </w:t>
      </w:r>
      <w:r w:rsidRPr="00344830">
        <w:rPr>
          <w:rFonts w:eastAsiaTheme="minorHAnsi"/>
          <w:sz w:val="22"/>
          <w:szCs w:val="22"/>
        </w:rPr>
        <w:t>Also, s</w:t>
      </w:r>
      <w:r w:rsidR="000C3BA7" w:rsidRPr="00344830">
        <w:rPr>
          <w:rFonts w:eastAsiaTheme="minorHAnsi"/>
          <w:sz w:val="22"/>
          <w:szCs w:val="22"/>
        </w:rPr>
        <w:t xml:space="preserve">moking and obesity are a leading cause of death. The government has no specific policies in place to overcome health disparities. </w:t>
      </w:r>
      <w:r w:rsidRPr="00344830">
        <w:rPr>
          <w:rFonts w:eastAsiaTheme="minorHAnsi"/>
          <w:sz w:val="22"/>
          <w:szCs w:val="22"/>
        </w:rPr>
        <w:t>In addition, t</w:t>
      </w:r>
      <w:r w:rsidR="000C3BA7" w:rsidRPr="00344830">
        <w:rPr>
          <w:rFonts w:eastAsiaTheme="minorHAnsi"/>
          <w:sz w:val="22"/>
          <w:szCs w:val="22"/>
        </w:rPr>
        <w:t xml:space="preserve">his government emphasizing individual responsibility for healthy lifestyles. The government included diet advice and smoking cessation programs to the statutory benefits package. </w:t>
      </w:r>
      <w:r w:rsidRPr="00344830">
        <w:rPr>
          <w:rFonts w:eastAsiaTheme="minorHAnsi"/>
          <w:sz w:val="22"/>
          <w:szCs w:val="22"/>
        </w:rPr>
        <w:t>Also, t</w:t>
      </w:r>
      <w:r w:rsidR="000C3BA7" w:rsidRPr="00344830">
        <w:rPr>
          <w:rFonts w:eastAsiaTheme="minorHAnsi"/>
          <w:sz w:val="22"/>
          <w:szCs w:val="22"/>
        </w:rPr>
        <w:t>he annual deductibles (mostly responsible for the majority of patient cost-sharing) has increased dramatically since 2008. This can lead to people abstaining fro</w:t>
      </w:r>
      <w:r w:rsidR="00585166">
        <w:rPr>
          <w:rFonts w:eastAsiaTheme="minorHAnsi"/>
          <w:sz w:val="22"/>
          <w:szCs w:val="22"/>
        </w:rPr>
        <w:t xml:space="preserve">m seeking needed medical care. </w:t>
      </w:r>
    </w:p>
    <w:p w14:paraId="47B96478" w14:textId="77777777" w:rsidR="00585166" w:rsidRPr="00585166" w:rsidRDefault="00585166" w:rsidP="00585166">
      <w:pPr>
        <w:pStyle w:val="NormalWeb"/>
        <w:spacing w:before="0" w:beforeAutospacing="0" w:after="0" w:afterAutospacing="0"/>
        <w:ind w:firstLine="720"/>
        <w:textAlignment w:val="baseline"/>
        <w:rPr>
          <w:rFonts w:eastAsiaTheme="minorHAnsi"/>
          <w:sz w:val="22"/>
          <w:szCs w:val="22"/>
        </w:rPr>
      </w:pPr>
    </w:p>
    <w:p w14:paraId="7E01CC7A" w14:textId="260E5743" w:rsidR="00591B9A" w:rsidRPr="00344830" w:rsidRDefault="00591B9A" w:rsidP="000B67A6">
      <w:pPr>
        <w:rPr>
          <w:rFonts w:ascii="Times New Roman" w:hAnsi="Times New Roman" w:cs="Times New Roman"/>
          <w:b/>
        </w:rPr>
      </w:pPr>
      <w:r w:rsidRPr="00344830">
        <w:rPr>
          <w:rFonts w:ascii="Times New Roman" w:hAnsi="Times New Roman" w:cs="Times New Roman"/>
          <w:b/>
        </w:rPr>
        <w:t>System Emerging Challenges</w:t>
      </w:r>
    </w:p>
    <w:p w14:paraId="741E6C87" w14:textId="17432CC9" w:rsidR="0029229C" w:rsidRPr="00344830" w:rsidRDefault="000C3BA7" w:rsidP="00EC037C">
      <w:pPr>
        <w:pStyle w:val="NormalWeb"/>
        <w:spacing w:before="0" w:beforeAutospacing="0" w:after="0" w:afterAutospacing="0"/>
        <w:ind w:firstLine="720"/>
        <w:textAlignment w:val="baseline"/>
        <w:rPr>
          <w:sz w:val="22"/>
          <w:szCs w:val="22"/>
        </w:rPr>
      </w:pPr>
      <w:r w:rsidRPr="00344830">
        <w:rPr>
          <w:rFonts w:eastAsiaTheme="minorHAnsi"/>
          <w:sz w:val="22"/>
          <w:szCs w:val="22"/>
        </w:rPr>
        <w:t xml:space="preserve">In 2015, a new funding model was introduced to all general practitioners. This new model has three segments; primary care innovations, multidisciplinary care for diabetes, asthma, and chronic obstructive pulmonary disease, and cardiovascular risk management, and negotiation rights between general practitioners and insurers </w:t>
      </w:r>
      <w:r w:rsidRPr="00344830">
        <w:rPr>
          <w:sz w:val="22"/>
          <w:szCs w:val="22"/>
        </w:rPr>
        <w:t>(The Commonwealth Fund, 2015, p. 95).</w:t>
      </w:r>
      <w:r w:rsidRPr="00344830">
        <w:rPr>
          <w:rFonts w:eastAsiaTheme="minorHAnsi"/>
          <w:sz w:val="22"/>
          <w:szCs w:val="22"/>
        </w:rPr>
        <w:t xml:space="preserve"> In 2006, the Health Insurance Act was introduced due to the dissatisfaction with public and private coverage. The system is working to establish a central health information technology network to enable information exchange among all providers. Currently, electronic records are not nationally standardized or interoperable between domains of care </w:t>
      </w:r>
      <w:r w:rsidRPr="00344830">
        <w:rPr>
          <w:sz w:val="22"/>
          <w:szCs w:val="22"/>
        </w:rPr>
        <w:t xml:space="preserve">(The Commonwealth Fund, 2015, p. 100). </w:t>
      </w:r>
      <w:r w:rsidR="00306159" w:rsidRPr="00344830">
        <w:rPr>
          <w:sz w:val="22"/>
          <w:szCs w:val="22"/>
        </w:rPr>
        <w:t>Those are a few emerging system innovation which will also bring particular challenges to the system.</w:t>
      </w:r>
    </w:p>
    <w:p w14:paraId="47154D4C" w14:textId="77777777" w:rsidR="00EC037C" w:rsidRPr="00344830" w:rsidRDefault="00EC037C" w:rsidP="00EC037C">
      <w:pPr>
        <w:pStyle w:val="NormalWeb"/>
        <w:spacing w:before="0" w:beforeAutospacing="0" w:after="0" w:afterAutospacing="0"/>
        <w:ind w:firstLine="720"/>
        <w:textAlignment w:val="baseline"/>
        <w:rPr>
          <w:sz w:val="22"/>
          <w:szCs w:val="22"/>
        </w:rPr>
      </w:pPr>
    </w:p>
    <w:p w14:paraId="0A39421D" w14:textId="4E365FC1" w:rsidR="00591B9A" w:rsidRPr="00344830" w:rsidRDefault="00591B9A" w:rsidP="0029229C">
      <w:pPr>
        <w:jc w:val="center"/>
        <w:rPr>
          <w:rFonts w:ascii="Times New Roman" w:hAnsi="Times New Roman" w:cs="Times New Roman"/>
          <w:b/>
        </w:rPr>
      </w:pPr>
      <w:r w:rsidRPr="00344830">
        <w:rPr>
          <w:rFonts w:ascii="Times New Roman" w:hAnsi="Times New Roman" w:cs="Times New Roman"/>
          <w:b/>
        </w:rPr>
        <w:t>Norway</w:t>
      </w:r>
    </w:p>
    <w:p w14:paraId="4163E8F5" w14:textId="77777777" w:rsidR="00591B9A" w:rsidRPr="00344830" w:rsidRDefault="00591B9A" w:rsidP="00591B9A">
      <w:pPr>
        <w:rPr>
          <w:rFonts w:ascii="Times New Roman" w:hAnsi="Times New Roman" w:cs="Times New Roman"/>
        </w:rPr>
      </w:pPr>
      <w:r w:rsidRPr="00344830">
        <w:rPr>
          <w:rFonts w:ascii="Times New Roman" w:hAnsi="Times New Roman" w:cs="Times New Roman"/>
          <w:b/>
        </w:rPr>
        <w:t>Healthcare Coverage</w:t>
      </w:r>
    </w:p>
    <w:p w14:paraId="6C683462" w14:textId="74063236" w:rsidR="00F66999" w:rsidRPr="00344830" w:rsidRDefault="00CE6FCD" w:rsidP="00CE6FCD">
      <w:pPr>
        <w:pStyle w:val="NormalWeb"/>
        <w:spacing w:before="0" w:beforeAutospacing="0" w:after="0" w:afterAutospacing="0"/>
        <w:ind w:firstLine="720"/>
        <w:textAlignment w:val="baseline"/>
        <w:rPr>
          <w:rFonts w:eastAsiaTheme="minorHAnsi"/>
          <w:sz w:val="22"/>
          <w:szCs w:val="22"/>
        </w:rPr>
      </w:pPr>
      <w:r w:rsidRPr="00344830">
        <w:rPr>
          <w:rFonts w:eastAsiaTheme="minorHAnsi"/>
          <w:sz w:val="22"/>
          <w:szCs w:val="22"/>
        </w:rPr>
        <w:t>The Norwegian healthcare system i</w:t>
      </w:r>
      <w:r w:rsidR="0013547C">
        <w:rPr>
          <w:rFonts w:eastAsiaTheme="minorHAnsi"/>
          <w:sz w:val="22"/>
          <w:szCs w:val="22"/>
        </w:rPr>
        <w:t>s based on the Beveridge model. N</w:t>
      </w:r>
      <w:r w:rsidRPr="00344830">
        <w:rPr>
          <w:rFonts w:eastAsiaTheme="minorHAnsi"/>
          <w:sz w:val="22"/>
          <w:szCs w:val="22"/>
        </w:rPr>
        <w:t xml:space="preserve">ational health insurance covers primary care, hospital care, ambulatory care, and outpatient prescription drugs. It also covers dental care services for children and other prioritized groups. It does not cover </w:t>
      </w:r>
      <w:r w:rsidRPr="00344830">
        <w:rPr>
          <w:sz w:val="22"/>
          <w:szCs w:val="22"/>
        </w:rPr>
        <w:t>non-medical</w:t>
      </w:r>
      <w:r w:rsidRPr="00344830">
        <w:rPr>
          <w:rFonts w:eastAsiaTheme="minorHAnsi"/>
          <w:sz w:val="22"/>
          <w:szCs w:val="22"/>
        </w:rPr>
        <w:t xml:space="preserve"> eye care or cosmetic surgery. All inpatient care in a public hospital (including pharmaceuticals) is free of charge for patients. Complementary medicine is not covered. Primary care, preventative care and nursing care organized at the local level by municipalities. The m</w:t>
      </w:r>
      <w:r w:rsidR="001D1838" w:rsidRPr="00344830">
        <w:rPr>
          <w:rFonts w:eastAsiaTheme="minorHAnsi"/>
          <w:sz w:val="22"/>
          <w:szCs w:val="22"/>
        </w:rPr>
        <w:t>unicipalities and counties</w:t>
      </w:r>
      <w:r w:rsidRPr="00344830">
        <w:rPr>
          <w:rFonts w:eastAsiaTheme="minorHAnsi"/>
          <w:sz w:val="22"/>
          <w:szCs w:val="22"/>
        </w:rPr>
        <w:t xml:space="preserve"> also decide on public health initiatives to promote healthy lifestyle and reduce social health disparities </w:t>
      </w:r>
      <w:r w:rsidR="00F77E18" w:rsidRPr="00344830">
        <w:rPr>
          <w:sz w:val="22"/>
          <w:szCs w:val="22"/>
        </w:rPr>
        <w:t xml:space="preserve">(The Commonwealth Fund, 2015, p. </w:t>
      </w:r>
      <w:r w:rsidR="009853C1">
        <w:rPr>
          <w:rFonts w:eastAsiaTheme="minorHAnsi"/>
          <w:sz w:val="22"/>
          <w:szCs w:val="22"/>
        </w:rPr>
        <w:t>113).</w:t>
      </w:r>
      <w:r w:rsidR="001D1838" w:rsidRPr="00344830">
        <w:rPr>
          <w:rFonts w:eastAsiaTheme="minorHAnsi"/>
          <w:sz w:val="22"/>
          <w:szCs w:val="22"/>
        </w:rPr>
        <w:t xml:space="preserve">Their system is </w:t>
      </w:r>
      <w:r w:rsidRPr="00344830">
        <w:rPr>
          <w:rFonts w:eastAsiaTheme="minorHAnsi"/>
          <w:sz w:val="22"/>
          <w:szCs w:val="22"/>
        </w:rPr>
        <w:t xml:space="preserve">centrally organized </w:t>
      </w:r>
      <w:r w:rsidR="001D1838" w:rsidRPr="00344830">
        <w:rPr>
          <w:rFonts w:eastAsiaTheme="minorHAnsi"/>
          <w:sz w:val="22"/>
          <w:szCs w:val="22"/>
        </w:rPr>
        <w:t xml:space="preserve">by the </w:t>
      </w:r>
      <w:r w:rsidRPr="00344830">
        <w:rPr>
          <w:rFonts w:eastAsiaTheme="minorHAnsi"/>
          <w:sz w:val="22"/>
          <w:szCs w:val="22"/>
        </w:rPr>
        <w:t>National Health Service</w:t>
      </w:r>
      <w:r w:rsidR="001D1838" w:rsidRPr="00344830">
        <w:rPr>
          <w:rFonts w:eastAsiaTheme="minorHAnsi"/>
          <w:sz w:val="22"/>
          <w:szCs w:val="22"/>
        </w:rPr>
        <w:t xml:space="preserve"> (</w:t>
      </w:r>
      <w:r w:rsidR="00F77E18" w:rsidRPr="00344830">
        <w:rPr>
          <w:sz w:val="22"/>
          <w:szCs w:val="22"/>
        </w:rPr>
        <w:t>Lameire, Joffe, &amp; Wiedmann, 1999</w:t>
      </w:r>
      <w:r w:rsidRPr="00344830">
        <w:rPr>
          <w:rFonts w:eastAsiaTheme="minorHAnsi"/>
          <w:sz w:val="22"/>
          <w:szCs w:val="22"/>
        </w:rPr>
        <w:t xml:space="preserve">, p.3). </w:t>
      </w:r>
    </w:p>
    <w:p w14:paraId="055515A0" w14:textId="77777777" w:rsidR="00CE6FCD" w:rsidRPr="00344830" w:rsidRDefault="00CE6FCD" w:rsidP="00CE6FCD">
      <w:pPr>
        <w:pStyle w:val="NormalWeb"/>
        <w:spacing w:before="0" w:beforeAutospacing="0" w:after="0" w:afterAutospacing="0"/>
        <w:ind w:firstLine="720"/>
        <w:textAlignment w:val="baseline"/>
        <w:rPr>
          <w:rFonts w:eastAsiaTheme="minorHAnsi"/>
          <w:sz w:val="22"/>
          <w:szCs w:val="22"/>
        </w:rPr>
      </w:pPr>
    </w:p>
    <w:p w14:paraId="30ECDF10" w14:textId="77777777" w:rsidR="00591B9A" w:rsidRPr="00344830" w:rsidRDefault="00591B9A" w:rsidP="00591B9A">
      <w:pPr>
        <w:rPr>
          <w:rFonts w:ascii="Times New Roman" w:eastAsia="Times New Roman" w:hAnsi="Times New Roman" w:cs="Times New Roman"/>
        </w:rPr>
      </w:pPr>
      <w:r w:rsidRPr="00344830">
        <w:rPr>
          <w:rFonts w:ascii="Times New Roman" w:hAnsi="Times New Roman" w:cs="Times New Roman"/>
          <w:b/>
        </w:rPr>
        <w:t>Population Covered</w:t>
      </w:r>
    </w:p>
    <w:p w14:paraId="1F47B2D0" w14:textId="2CC13AA1" w:rsidR="001D1838" w:rsidRPr="00344830" w:rsidRDefault="00806961" w:rsidP="00C735A3">
      <w:pPr>
        <w:pStyle w:val="NormalWeb"/>
        <w:spacing w:before="0" w:beforeAutospacing="0" w:after="0" w:afterAutospacing="0"/>
        <w:ind w:firstLine="720"/>
        <w:textAlignment w:val="baseline"/>
        <w:rPr>
          <w:sz w:val="22"/>
          <w:szCs w:val="22"/>
        </w:rPr>
      </w:pPr>
      <w:r w:rsidRPr="00344830">
        <w:rPr>
          <w:sz w:val="22"/>
          <w:szCs w:val="22"/>
        </w:rPr>
        <w:lastRenderedPageBreak/>
        <w:t>Everyone in the country has access to healthcare coverage.</w:t>
      </w:r>
      <w:r w:rsidR="008C396F" w:rsidRPr="00344830">
        <w:rPr>
          <w:sz w:val="22"/>
          <w:szCs w:val="22"/>
        </w:rPr>
        <w:t xml:space="preserve"> In other words, they have universal coverage. The n</w:t>
      </w:r>
      <w:r w:rsidRPr="00344830">
        <w:rPr>
          <w:sz w:val="22"/>
          <w:szCs w:val="22"/>
        </w:rPr>
        <w:t>ationally manag</w:t>
      </w:r>
      <w:r w:rsidR="008C396F" w:rsidRPr="00344830">
        <w:rPr>
          <w:sz w:val="22"/>
          <w:szCs w:val="22"/>
        </w:rPr>
        <w:t>ed and financed health system prioritizes</w:t>
      </w:r>
      <w:r w:rsidRPr="00344830">
        <w:rPr>
          <w:sz w:val="22"/>
          <w:szCs w:val="22"/>
        </w:rPr>
        <w:t xml:space="preserve"> equal access for all citizens regardless of socioeconomic status, ethnicity, and area of residence. European Union residents have the same access to health services as Norwegians as do other residents with a permit to stay and work in Norway. Visitors are charged in full</w:t>
      </w:r>
      <w:r w:rsidR="008C396F" w:rsidRPr="00344830">
        <w:rPr>
          <w:sz w:val="22"/>
          <w:szCs w:val="22"/>
        </w:rPr>
        <w:t xml:space="preserve"> for services.</w:t>
      </w:r>
      <w:r w:rsidRPr="00344830">
        <w:rPr>
          <w:sz w:val="22"/>
          <w:szCs w:val="22"/>
        </w:rPr>
        <w:t xml:space="preserve"> </w:t>
      </w:r>
      <w:r w:rsidR="008C396F" w:rsidRPr="00344830">
        <w:rPr>
          <w:sz w:val="22"/>
          <w:szCs w:val="22"/>
        </w:rPr>
        <w:t>Undocumented immigrants have access but is</w:t>
      </w:r>
      <w:r w:rsidRPr="00344830">
        <w:rPr>
          <w:sz w:val="22"/>
          <w:szCs w:val="22"/>
        </w:rPr>
        <w:t xml:space="preserve"> limited to emergency acute care. </w:t>
      </w:r>
      <w:r w:rsidR="009853C1" w:rsidRPr="00344830">
        <w:rPr>
          <w:rFonts w:eastAsiaTheme="minorHAnsi"/>
          <w:sz w:val="22"/>
          <w:szCs w:val="22"/>
        </w:rPr>
        <w:t xml:space="preserve">All legal residents have equal access regardless of socioeconomic status, country of origin, and area of residence. </w:t>
      </w:r>
      <w:r w:rsidRPr="00344830">
        <w:rPr>
          <w:sz w:val="22"/>
          <w:szCs w:val="22"/>
        </w:rPr>
        <w:t>Private insurance is growing but only about 7% of the population have this insurance coverage (The Commonwealth Fund, 2015, p. 113).  </w:t>
      </w:r>
    </w:p>
    <w:p w14:paraId="319E7EC9" w14:textId="77777777" w:rsidR="00C735A3" w:rsidRPr="00344830" w:rsidRDefault="00C735A3" w:rsidP="00C735A3">
      <w:pPr>
        <w:pStyle w:val="NormalWeb"/>
        <w:spacing w:before="0" w:beforeAutospacing="0" w:after="0" w:afterAutospacing="0"/>
        <w:ind w:firstLine="720"/>
        <w:textAlignment w:val="baseline"/>
        <w:rPr>
          <w:rFonts w:eastAsiaTheme="minorHAnsi"/>
          <w:sz w:val="22"/>
          <w:szCs w:val="22"/>
        </w:rPr>
      </w:pPr>
    </w:p>
    <w:p w14:paraId="0A363D69" w14:textId="77777777" w:rsidR="00591B9A" w:rsidRPr="00344830" w:rsidRDefault="00591B9A" w:rsidP="00591B9A">
      <w:pPr>
        <w:rPr>
          <w:rFonts w:ascii="Times New Roman" w:hAnsi="Times New Roman" w:cs="Times New Roman"/>
          <w:b/>
        </w:rPr>
      </w:pPr>
      <w:r w:rsidRPr="00344830">
        <w:rPr>
          <w:rFonts w:ascii="Times New Roman" w:hAnsi="Times New Roman" w:cs="Times New Roman"/>
          <w:b/>
        </w:rPr>
        <w:t xml:space="preserve">Healthcare Financial System </w:t>
      </w:r>
    </w:p>
    <w:p w14:paraId="78006234" w14:textId="39A9D741" w:rsidR="008C396F" w:rsidRPr="00344830" w:rsidRDefault="008C396F" w:rsidP="00325BFF">
      <w:pPr>
        <w:pStyle w:val="NormalWeb"/>
        <w:spacing w:before="240" w:beforeAutospacing="0" w:after="0" w:afterAutospacing="0"/>
        <w:ind w:firstLine="720"/>
        <w:textAlignment w:val="baseline"/>
        <w:rPr>
          <w:sz w:val="22"/>
          <w:szCs w:val="22"/>
        </w:rPr>
      </w:pPr>
      <w:r w:rsidRPr="00344830">
        <w:rPr>
          <w:sz w:val="22"/>
          <w:szCs w:val="22"/>
        </w:rPr>
        <w:t>Norway has the second highest per-capita spending on health care among OECD</w:t>
      </w:r>
      <w:r w:rsidR="00A71ABC" w:rsidRPr="00344830">
        <w:rPr>
          <w:sz w:val="22"/>
          <w:szCs w:val="22"/>
        </w:rPr>
        <w:t xml:space="preserve"> (Organization for Economic Co-operation and Development)</w:t>
      </w:r>
      <w:r w:rsidRPr="00344830">
        <w:rPr>
          <w:sz w:val="22"/>
          <w:szCs w:val="22"/>
        </w:rPr>
        <w:t xml:space="preserve"> countries. The public health system is financed mainly through taxation Healthcare budgets compete with other spending priorities (Lameire, Joffe, &amp; Wiedmann, 1999, p.3). Public spending on health is financed through general taxation</w:t>
      </w:r>
      <w:r w:rsidR="00A71ABC" w:rsidRPr="00344830">
        <w:rPr>
          <w:sz w:val="22"/>
          <w:szCs w:val="22"/>
        </w:rPr>
        <w:t xml:space="preserve"> from t</w:t>
      </w:r>
      <w:r w:rsidRPr="00344830">
        <w:rPr>
          <w:sz w:val="22"/>
          <w:szCs w:val="22"/>
        </w:rPr>
        <w:t>he central government, counties,</w:t>
      </w:r>
      <w:r w:rsidR="00A71ABC" w:rsidRPr="00344830">
        <w:rPr>
          <w:sz w:val="22"/>
          <w:szCs w:val="22"/>
        </w:rPr>
        <w:t xml:space="preserve"> and municipality </w:t>
      </w:r>
      <w:r w:rsidRPr="00344830">
        <w:rPr>
          <w:sz w:val="22"/>
          <w:szCs w:val="22"/>
        </w:rPr>
        <w:t xml:space="preserve">taxes. Taxation accounted for 85.5% of total health expenditure in 2013. Central government proposes a budget in October, the Parliament debates and passes in December. The general Purpose Grant Scheme allocates funds to each municipality according to population size for example; population age is an important factor. Funding is not adjusted according to utilization (The Commonwealth Fund, 2015, p. 114). The privately financed health care is mostly out-of-pocket payments </w:t>
      </w:r>
      <w:r w:rsidR="00A658B4" w:rsidRPr="00344830">
        <w:rPr>
          <w:sz w:val="22"/>
          <w:szCs w:val="22"/>
        </w:rPr>
        <w:t xml:space="preserve">which </w:t>
      </w:r>
      <w:r w:rsidRPr="00344830">
        <w:rPr>
          <w:sz w:val="22"/>
          <w:szCs w:val="22"/>
        </w:rPr>
        <w:t xml:space="preserve">accounted for about 15% of total healthcare expenditures (this includes cost-sharing). Private funds are spent on medicine, general practitioner services, outpatient specialist services, and transportation. </w:t>
      </w:r>
      <w:r w:rsidR="00A658B4" w:rsidRPr="00344830">
        <w:rPr>
          <w:sz w:val="22"/>
          <w:szCs w:val="22"/>
        </w:rPr>
        <w:t>Municipalities contract with general practitioners</w:t>
      </w:r>
      <w:r w:rsidRPr="00344830">
        <w:rPr>
          <w:sz w:val="22"/>
          <w:szCs w:val="22"/>
        </w:rPr>
        <w:t>, who then receive a combination of capitation from the municipalities (about 35% of their income), fee-for-service from the Norwegian Health Economics Administration (35% of income; services like blood tests, preventive, and mental health consultations), and out of pocket payments from pa</w:t>
      </w:r>
      <w:r w:rsidR="00A658B4" w:rsidRPr="00344830">
        <w:rPr>
          <w:sz w:val="22"/>
          <w:szCs w:val="22"/>
        </w:rPr>
        <w:t>tients (about 30% of income). General practitioner</w:t>
      </w:r>
      <w:r w:rsidRPr="00344830">
        <w:rPr>
          <w:sz w:val="22"/>
          <w:szCs w:val="22"/>
        </w:rPr>
        <w:t xml:space="preserve"> financing is</w:t>
      </w:r>
      <w:r w:rsidR="00A658B4" w:rsidRPr="00344830">
        <w:rPr>
          <w:sz w:val="22"/>
          <w:szCs w:val="22"/>
        </w:rPr>
        <w:t xml:space="preserve"> determined nationally, but most</w:t>
      </w:r>
      <w:r w:rsidRPr="00344830">
        <w:rPr>
          <w:sz w:val="22"/>
          <w:szCs w:val="22"/>
        </w:rPr>
        <w:t xml:space="preserve"> are self-employed and some are salaried municipal employees. Outpatient specialist care-hospital-based specialists are salaried. Privately practicing specialists are self-employed and paid an annual lump sum based on their contract with an RHA, plus fee-for-service payments (35%), and patient copayments (30%). Providers</w:t>
      </w:r>
      <w:r w:rsidR="00A658B4" w:rsidRPr="00344830">
        <w:rPr>
          <w:sz w:val="22"/>
          <w:szCs w:val="22"/>
        </w:rPr>
        <w:t xml:space="preserve"> are</w:t>
      </w:r>
      <w:r w:rsidRPr="00344830">
        <w:rPr>
          <w:sz w:val="22"/>
          <w:szCs w:val="22"/>
        </w:rPr>
        <w:t xml:space="preserve"> paid directly through patient copayments. There is no reimbursement process for patients. When patients reach the ceiling for out of pocket payments, they no longer make direct payments to providers. The full amount is paid by the third-party payer (The Commonwealth Fund, 2015, p. </w:t>
      </w:r>
      <w:r w:rsidR="00325BFF" w:rsidRPr="00344830">
        <w:rPr>
          <w:sz w:val="22"/>
          <w:szCs w:val="22"/>
        </w:rPr>
        <w:t>115).</w:t>
      </w:r>
    </w:p>
    <w:p w14:paraId="4DB51E8E" w14:textId="77777777" w:rsidR="00306159" w:rsidRPr="00344830" w:rsidRDefault="00591B9A" w:rsidP="00325BFF">
      <w:pPr>
        <w:spacing w:before="240"/>
        <w:rPr>
          <w:rFonts w:ascii="Times New Roman" w:hAnsi="Times New Roman" w:cs="Times New Roman"/>
          <w:b/>
        </w:rPr>
      </w:pPr>
      <w:r w:rsidRPr="00344830">
        <w:rPr>
          <w:rFonts w:ascii="Times New Roman" w:hAnsi="Times New Roman" w:cs="Times New Roman"/>
          <w:b/>
        </w:rPr>
        <w:t>Point of Access</w:t>
      </w:r>
    </w:p>
    <w:p w14:paraId="5F01F015" w14:textId="1BAC8735" w:rsidR="00306159" w:rsidRPr="00344830" w:rsidRDefault="00306159" w:rsidP="00A658B4">
      <w:pPr>
        <w:ind w:firstLine="720"/>
        <w:rPr>
          <w:rFonts w:ascii="Times New Roman" w:hAnsi="Times New Roman" w:cs="Times New Roman"/>
          <w:b/>
        </w:rPr>
      </w:pPr>
      <w:r w:rsidRPr="00344830">
        <w:rPr>
          <w:rFonts w:ascii="Times New Roman" w:hAnsi="Times New Roman" w:cs="Times New Roman"/>
        </w:rPr>
        <w:t>Similar to the Netherlands, Norway’s government is responsible for providing overall health care to Norway’s population. The Ministry of Health and Care Services (MOH) is responsible for providing secondary care through legislation, funding, ownership of hospitals, and provision of directives to the boards of the regional healthcare authorities (RHAs). Norway has 428 municipalities-responsible for providing primary care and has to abide by current legislation and directives from the Directorate for Health</w:t>
      </w:r>
      <w:r w:rsidRPr="00344830">
        <w:rPr>
          <w:rFonts w:ascii="Times New Roman" w:hAnsi="Times New Roman" w:cs="Times New Roman"/>
          <w:b/>
        </w:rPr>
        <w:t xml:space="preserve"> </w:t>
      </w:r>
      <w:r w:rsidRPr="00344830">
        <w:rPr>
          <w:rFonts w:ascii="Times New Roman" w:hAnsi="Times New Roman" w:cs="Times New Roman"/>
        </w:rPr>
        <w:t>which are based on the MO</w:t>
      </w:r>
      <w:r w:rsidR="00CE6FCD" w:rsidRPr="00344830">
        <w:rPr>
          <w:rFonts w:ascii="Times New Roman" w:hAnsi="Times New Roman" w:cs="Times New Roman"/>
        </w:rPr>
        <w:t xml:space="preserve">H’s priorities and demands. </w:t>
      </w:r>
      <w:r w:rsidRPr="00344830">
        <w:rPr>
          <w:rFonts w:ascii="Times New Roman" w:hAnsi="Times New Roman" w:cs="Times New Roman"/>
        </w:rPr>
        <w:t xml:space="preserve">Public dental care and public health are the responsibility of the 19 counties. In 2002, </w:t>
      </w:r>
      <w:r w:rsidR="00CE6FCD" w:rsidRPr="00344830">
        <w:rPr>
          <w:rFonts w:ascii="Times New Roman" w:hAnsi="Times New Roman" w:cs="Times New Roman"/>
        </w:rPr>
        <w:t xml:space="preserve">there was a Norwegian Hospital Reform which allows for the four RHAs </w:t>
      </w:r>
      <w:r w:rsidRPr="00344830">
        <w:rPr>
          <w:rFonts w:ascii="Times New Roman" w:hAnsi="Times New Roman" w:cs="Times New Roman"/>
        </w:rPr>
        <w:t>corp</w:t>
      </w:r>
      <w:r w:rsidR="00CE6FCD" w:rsidRPr="00344830">
        <w:rPr>
          <w:rFonts w:ascii="Times New Roman" w:hAnsi="Times New Roman" w:cs="Times New Roman"/>
        </w:rPr>
        <w:t xml:space="preserve">orations owned by the state to be </w:t>
      </w:r>
      <w:r w:rsidRPr="00344830">
        <w:rPr>
          <w:rFonts w:ascii="Times New Roman" w:hAnsi="Times New Roman" w:cs="Times New Roman"/>
        </w:rPr>
        <w:t>responsible for supervising inpatient and specialist somatic care, psychiatric care, and treatment for alc</w:t>
      </w:r>
      <w:r w:rsidR="00CE6FCD" w:rsidRPr="00344830">
        <w:rPr>
          <w:rFonts w:ascii="Times New Roman" w:hAnsi="Times New Roman" w:cs="Times New Roman"/>
        </w:rPr>
        <w:t>ohol and substance use disorder. The MO</w:t>
      </w:r>
      <w:r w:rsidRPr="00344830">
        <w:rPr>
          <w:rFonts w:ascii="Times New Roman" w:hAnsi="Times New Roman" w:cs="Times New Roman"/>
        </w:rPr>
        <w:t>H provides the RHAs’ budgets, and has yearly aims and priorities for the RHAs</w:t>
      </w:r>
      <w:r w:rsidR="00CE6FCD" w:rsidRPr="00344830">
        <w:rPr>
          <w:rFonts w:ascii="Times New Roman" w:hAnsi="Times New Roman" w:cs="Times New Roman"/>
        </w:rPr>
        <w:t xml:space="preserve"> (The Commonwealth Fund, 2015, p. 93). </w:t>
      </w:r>
    </w:p>
    <w:p w14:paraId="3FFC38A6" w14:textId="6325E20E" w:rsidR="00591B9A" w:rsidRPr="00344830" w:rsidRDefault="00591B9A" w:rsidP="00591B9A">
      <w:pPr>
        <w:rPr>
          <w:rFonts w:ascii="Times New Roman" w:hAnsi="Times New Roman" w:cs="Times New Roman"/>
          <w:b/>
        </w:rPr>
      </w:pPr>
      <w:r w:rsidRPr="00344830">
        <w:rPr>
          <w:rFonts w:ascii="Times New Roman" w:hAnsi="Times New Roman" w:cs="Times New Roman"/>
          <w:b/>
        </w:rPr>
        <w:t>System Strengths</w:t>
      </w:r>
    </w:p>
    <w:p w14:paraId="35ADAF2B" w14:textId="5B8F6321" w:rsidR="00A658B4" w:rsidRPr="00344830" w:rsidRDefault="00A658B4" w:rsidP="0029229C">
      <w:pPr>
        <w:pStyle w:val="NormalWeb"/>
        <w:spacing w:before="0" w:beforeAutospacing="0" w:after="0" w:afterAutospacing="0"/>
        <w:ind w:firstLine="720"/>
        <w:textAlignment w:val="baseline"/>
        <w:rPr>
          <w:rFonts w:eastAsiaTheme="minorHAnsi"/>
          <w:sz w:val="22"/>
          <w:szCs w:val="22"/>
        </w:rPr>
      </w:pPr>
      <w:r w:rsidRPr="00344830">
        <w:rPr>
          <w:rFonts w:eastAsiaTheme="minorHAnsi"/>
          <w:sz w:val="22"/>
          <w:szCs w:val="22"/>
        </w:rPr>
        <w:lastRenderedPageBreak/>
        <w:t xml:space="preserve">The Norwegian health system has several strengths. Keeping costs down and </w:t>
      </w:r>
      <w:r w:rsidR="00EF0005" w:rsidRPr="00344830">
        <w:rPr>
          <w:rFonts w:eastAsiaTheme="minorHAnsi"/>
          <w:sz w:val="22"/>
          <w:szCs w:val="22"/>
        </w:rPr>
        <w:t>having the same</w:t>
      </w:r>
      <w:r w:rsidRPr="00344830">
        <w:rPr>
          <w:rFonts w:eastAsiaTheme="minorHAnsi"/>
          <w:sz w:val="22"/>
          <w:szCs w:val="22"/>
        </w:rPr>
        <w:t xml:space="preserve"> quality </w:t>
      </w:r>
      <w:r w:rsidR="00EF0005" w:rsidRPr="00344830">
        <w:rPr>
          <w:rFonts w:eastAsiaTheme="minorHAnsi"/>
          <w:sz w:val="22"/>
          <w:szCs w:val="22"/>
        </w:rPr>
        <w:t xml:space="preserve">of healthcare as other countries is a notable strength. The healthcare system is very organized which </w:t>
      </w:r>
      <w:r w:rsidRPr="00344830">
        <w:rPr>
          <w:rFonts w:eastAsiaTheme="minorHAnsi"/>
          <w:sz w:val="22"/>
          <w:szCs w:val="22"/>
        </w:rPr>
        <w:t>can also be a weakness-less flexib</w:t>
      </w:r>
      <w:r w:rsidR="00EF0005" w:rsidRPr="00344830">
        <w:rPr>
          <w:rFonts w:eastAsiaTheme="minorHAnsi"/>
          <w:sz w:val="22"/>
          <w:szCs w:val="22"/>
        </w:rPr>
        <w:t xml:space="preserve">ility with changes which occur. </w:t>
      </w:r>
      <w:r w:rsidRPr="00344830">
        <w:rPr>
          <w:rFonts w:eastAsiaTheme="minorHAnsi"/>
          <w:sz w:val="22"/>
          <w:szCs w:val="22"/>
        </w:rPr>
        <w:t>The Directorate for Health is directing a program to improve healthcare quality. The national improvement focuses on efficacy, safety, efficiency, patient-centered care, coordination and continuity, and equality in access to healthcare. Some of the research information is gathered (including patient experiences) and makes it available to the public</w:t>
      </w:r>
      <w:r w:rsidR="00EF0005" w:rsidRPr="00344830">
        <w:rPr>
          <w:rFonts w:eastAsiaTheme="minorHAnsi"/>
          <w:sz w:val="22"/>
          <w:szCs w:val="22"/>
        </w:rPr>
        <w:t xml:space="preserve"> </w:t>
      </w:r>
      <w:r w:rsidR="00EF0005" w:rsidRPr="00344830">
        <w:rPr>
          <w:sz w:val="22"/>
          <w:szCs w:val="22"/>
        </w:rPr>
        <w:t xml:space="preserve">(The Commonwealth Fund, 2015, </w:t>
      </w:r>
      <w:r w:rsidRPr="00344830">
        <w:rPr>
          <w:rFonts w:eastAsiaTheme="minorHAnsi"/>
          <w:sz w:val="22"/>
          <w:szCs w:val="22"/>
        </w:rPr>
        <w:t>p. 118). Eliminating socioeconomic inequalities is a priority for the Norwegian Directorate for Health. Furthermore, a national strategy for addressing inequalities in health and health care was issued in 2007. Efforts include promoting equal access to high-quality child care, kindergarten, and education; improving the working environment and opportunities for people with physical and mental disabilities to be included in the workplace; price and tax policies; integration; smoking cessation, alcohol, and diet campaigns; and other initi</w:t>
      </w:r>
      <w:r w:rsidR="00EF0005" w:rsidRPr="00344830">
        <w:rPr>
          <w:rFonts w:eastAsiaTheme="minorHAnsi"/>
          <w:sz w:val="22"/>
          <w:szCs w:val="22"/>
        </w:rPr>
        <w:t>atives for populations at risk. The</w:t>
      </w:r>
      <w:r w:rsidRPr="00344830">
        <w:rPr>
          <w:rFonts w:eastAsiaTheme="minorHAnsi"/>
          <w:sz w:val="22"/>
          <w:szCs w:val="22"/>
        </w:rPr>
        <w:t xml:space="preserve"> Coordination Reform was implemented in 2012 and the increased incentives at hospitals, for example, to aim at better treatment and coordination of care, especially in elderly patients with chronic di</w:t>
      </w:r>
      <w:r w:rsidR="00EF0005" w:rsidRPr="00344830">
        <w:rPr>
          <w:rFonts w:eastAsiaTheme="minorHAnsi"/>
          <w:sz w:val="22"/>
          <w:szCs w:val="22"/>
        </w:rPr>
        <w:t>seases</w:t>
      </w:r>
      <w:r w:rsidR="00EF0005" w:rsidRPr="00344830">
        <w:rPr>
          <w:sz w:val="22"/>
          <w:szCs w:val="22"/>
        </w:rPr>
        <w:t xml:space="preserve"> (The Commonwealth Fund, 2015, </w:t>
      </w:r>
      <w:r w:rsidRPr="00344830">
        <w:rPr>
          <w:rFonts w:eastAsiaTheme="minorHAnsi"/>
          <w:sz w:val="22"/>
          <w:szCs w:val="22"/>
        </w:rPr>
        <w:t xml:space="preserve">p. 119). </w:t>
      </w:r>
    </w:p>
    <w:p w14:paraId="220CAE82" w14:textId="77777777" w:rsidR="0029229C" w:rsidRPr="00344830" w:rsidRDefault="0029229C" w:rsidP="0029229C">
      <w:pPr>
        <w:pStyle w:val="NormalWeb"/>
        <w:spacing w:before="0" w:beforeAutospacing="0" w:after="0" w:afterAutospacing="0"/>
        <w:ind w:firstLine="720"/>
        <w:textAlignment w:val="baseline"/>
        <w:rPr>
          <w:rFonts w:eastAsiaTheme="minorHAnsi"/>
          <w:sz w:val="22"/>
          <w:szCs w:val="22"/>
        </w:rPr>
      </w:pPr>
    </w:p>
    <w:p w14:paraId="4A1612AB" w14:textId="77777777" w:rsidR="00591B9A" w:rsidRPr="00344830" w:rsidRDefault="00591B9A" w:rsidP="00591B9A">
      <w:pPr>
        <w:rPr>
          <w:rFonts w:ascii="Times New Roman" w:hAnsi="Times New Roman" w:cs="Times New Roman"/>
        </w:rPr>
      </w:pPr>
      <w:r w:rsidRPr="00344830">
        <w:rPr>
          <w:rFonts w:ascii="Times New Roman" w:hAnsi="Times New Roman" w:cs="Times New Roman"/>
          <w:b/>
        </w:rPr>
        <w:t>System Weaknesses</w:t>
      </w:r>
    </w:p>
    <w:p w14:paraId="39A9003E" w14:textId="4A560F5C" w:rsidR="0029229C" w:rsidRPr="00344830" w:rsidRDefault="0029229C" w:rsidP="0029229C">
      <w:pPr>
        <w:pStyle w:val="NormalWeb"/>
        <w:spacing w:before="0" w:beforeAutospacing="0" w:after="0" w:afterAutospacing="0"/>
        <w:ind w:firstLine="720"/>
        <w:textAlignment w:val="baseline"/>
        <w:rPr>
          <w:rFonts w:eastAsiaTheme="minorHAnsi"/>
          <w:sz w:val="22"/>
          <w:szCs w:val="22"/>
        </w:rPr>
      </w:pPr>
      <w:r w:rsidRPr="00344830">
        <w:rPr>
          <w:rFonts w:eastAsiaTheme="minorHAnsi"/>
          <w:sz w:val="22"/>
          <w:szCs w:val="22"/>
        </w:rPr>
        <w:t xml:space="preserve">Although the Norwegian healthcare system </w:t>
      </w:r>
      <w:r w:rsidR="00DD10C6" w:rsidRPr="00344830">
        <w:rPr>
          <w:rFonts w:eastAsiaTheme="minorHAnsi"/>
          <w:sz w:val="22"/>
          <w:szCs w:val="22"/>
        </w:rPr>
        <w:t xml:space="preserve">has many strengths, it also </w:t>
      </w:r>
      <w:r w:rsidRPr="00344830">
        <w:rPr>
          <w:rFonts w:eastAsiaTheme="minorHAnsi"/>
          <w:sz w:val="22"/>
          <w:szCs w:val="22"/>
        </w:rPr>
        <w:t>has a few weaknesses which come from those strengths. For example, the system is very top to bottom; which can lead to only a f</w:t>
      </w:r>
      <w:r w:rsidR="00DD10C6" w:rsidRPr="00344830">
        <w:rPr>
          <w:rFonts w:eastAsiaTheme="minorHAnsi"/>
          <w:sz w:val="22"/>
          <w:szCs w:val="22"/>
        </w:rPr>
        <w:t>ew people making the decisions. Furthermore, this</w:t>
      </w:r>
      <w:r w:rsidRPr="00344830">
        <w:rPr>
          <w:rFonts w:eastAsiaTheme="minorHAnsi"/>
          <w:sz w:val="22"/>
          <w:szCs w:val="22"/>
        </w:rPr>
        <w:t xml:space="preserve"> can lead to people's’ meets not being met since a few people from the top are making the d</w:t>
      </w:r>
      <w:r w:rsidR="00DD10C6" w:rsidRPr="00344830">
        <w:rPr>
          <w:rFonts w:eastAsiaTheme="minorHAnsi"/>
          <w:sz w:val="22"/>
          <w:szCs w:val="22"/>
        </w:rPr>
        <w:t>ecisions for the entire country</w:t>
      </w:r>
      <w:r w:rsidRPr="00344830">
        <w:rPr>
          <w:rFonts w:eastAsiaTheme="minorHAnsi"/>
          <w:sz w:val="22"/>
          <w:szCs w:val="22"/>
        </w:rPr>
        <w:t xml:space="preserve"> </w:t>
      </w:r>
      <w:r w:rsidRPr="00344830">
        <w:rPr>
          <w:sz w:val="22"/>
          <w:szCs w:val="22"/>
        </w:rPr>
        <w:t xml:space="preserve">(The Commonwealth Fund, 2015, </w:t>
      </w:r>
      <w:r w:rsidRPr="00344830">
        <w:rPr>
          <w:rFonts w:eastAsiaTheme="minorHAnsi"/>
          <w:sz w:val="22"/>
          <w:szCs w:val="22"/>
        </w:rPr>
        <w:t xml:space="preserve">p. 117). </w:t>
      </w:r>
      <w:r w:rsidR="00DD10C6" w:rsidRPr="00344830">
        <w:rPr>
          <w:rFonts w:eastAsiaTheme="minorHAnsi"/>
          <w:sz w:val="22"/>
          <w:szCs w:val="22"/>
        </w:rPr>
        <w:t>For example, t</w:t>
      </w:r>
      <w:r w:rsidRPr="00344830">
        <w:rPr>
          <w:rFonts w:eastAsiaTheme="minorHAnsi"/>
          <w:sz w:val="22"/>
          <w:szCs w:val="22"/>
        </w:rPr>
        <w:t>he chief executive of the ministry and his staff make political decisions into practice by working out proposals for legislation and budgets, and by developing documents instructing the regional health authorities and the Directorate for Health and other agencies rega</w:t>
      </w:r>
      <w:r w:rsidR="00DD10C6" w:rsidRPr="00344830">
        <w:rPr>
          <w:rFonts w:eastAsiaTheme="minorHAnsi"/>
          <w:sz w:val="22"/>
          <w:szCs w:val="22"/>
        </w:rPr>
        <w:t>rding priorities and activities. In addition, t</w:t>
      </w:r>
      <w:r w:rsidRPr="00344830">
        <w:rPr>
          <w:rFonts w:eastAsiaTheme="minorHAnsi"/>
          <w:sz w:val="22"/>
          <w:szCs w:val="22"/>
        </w:rPr>
        <w:t>here is no system for reevaluation or reauthorizati</w:t>
      </w:r>
      <w:r w:rsidR="00DD10C6" w:rsidRPr="00344830">
        <w:rPr>
          <w:rFonts w:eastAsiaTheme="minorHAnsi"/>
          <w:sz w:val="22"/>
          <w:szCs w:val="22"/>
        </w:rPr>
        <w:t>on of health care professionals;</w:t>
      </w:r>
      <w:r w:rsidRPr="00344830">
        <w:rPr>
          <w:rFonts w:eastAsiaTheme="minorHAnsi"/>
          <w:sz w:val="22"/>
          <w:szCs w:val="22"/>
        </w:rPr>
        <w:t xml:space="preserve"> only general practitioners require recertification </w:t>
      </w:r>
      <w:r w:rsidRPr="00344830">
        <w:rPr>
          <w:sz w:val="22"/>
          <w:szCs w:val="22"/>
        </w:rPr>
        <w:t xml:space="preserve">(The Commonwealth Fund, 2015, </w:t>
      </w:r>
      <w:r w:rsidRPr="00344830">
        <w:rPr>
          <w:rFonts w:eastAsiaTheme="minorHAnsi"/>
          <w:sz w:val="22"/>
          <w:szCs w:val="22"/>
        </w:rPr>
        <w:t xml:space="preserve">p. 118). There is no requirement for accreditation or reaccreditation for hospitals although some are accredited (the entire hospitals or some departments). </w:t>
      </w:r>
    </w:p>
    <w:p w14:paraId="2504E29D" w14:textId="77777777" w:rsidR="0029229C" w:rsidRPr="00344830" w:rsidRDefault="0029229C" w:rsidP="00591B9A">
      <w:pPr>
        <w:rPr>
          <w:rFonts w:ascii="Times New Roman" w:hAnsi="Times New Roman" w:cs="Times New Roman"/>
          <w:b/>
        </w:rPr>
      </w:pPr>
    </w:p>
    <w:p w14:paraId="4BD70635" w14:textId="77777777" w:rsidR="00591B9A" w:rsidRPr="00344830" w:rsidRDefault="00591B9A" w:rsidP="00591B9A">
      <w:pPr>
        <w:rPr>
          <w:rFonts w:ascii="Times New Roman" w:hAnsi="Times New Roman" w:cs="Times New Roman"/>
        </w:rPr>
      </w:pPr>
      <w:r w:rsidRPr="00344830">
        <w:rPr>
          <w:rFonts w:ascii="Times New Roman" w:hAnsi="Times New Roman" w:cs="Times New Roman"/>
          <w:b/>
        </w:rPr>
        <w:t>System Emerging Challenges</w:t>
      </w:r>
    </w:p>
    <w:p w14:paraId="652F86FA" w14:textId="0F7B9220" w:rsidR="0029229C" w:rsidRPr="00344830" w:rsidRDefault="00027232" w:rsidP="0029229C">
      <w:pPr>
        <w:pStyle w:val="NormalWeb"/>
        <w:spacing w:before="0" w:beforeAutospacing="0" w:after="0" w:afterAutospacing="0"/>
        <w:ind w:firstLine="720"/>
        <w:textAlignment w:val="baseline"/>
        <w:rPr>
          <w:rFonts w:eastAsiaTheme="minorHAnsi"/>
          <w:sz w:val="22"/>
          <w:szCs w:val="22"/>
        </w:rPr>
      </w:pPr>
      <w:r w:rsidRPr="00344830">
        <w:rPr>
          <w:rFonts w:eastAsiaTheme="minorHAnsi"/>
          <w:sz w:val="22"/>
          <w:szCs w:val="22"/>
        </w:rPr>
        <w:t xml:space="preserve">There are a variety of new </w:t>
      </w:r>
      <w:r w:rsidR="00E17776" w:rsidRPr="00344830">
        <w:rPr>
          <w:rFonts w:eastAsiaTheme="minorHAnsi"/>
          <w:sz w:val="22"/>
          <w:szCs w:val="22"/>
        </w:rPr>
        <w:t>challenges and emerging projects Norway is experiencing. In the last 10 years there has been a d</w:t>
      </w:r>
      <w:r w:rsidR="0029229C" w:rsidRPr="00344830">
        <w:rPr>
          <w:rFonts w:eastAsiaTheme="minorHAnsi"/>
          <w:sz w:val="22"/>
          <w:szCs w:val="22"/>
        </w:rPr>
        <w:t>ec</w:t>
      </w:r>
      <w:r w:rsidR="00E17776" w:rsidRPr="00344830">
        <w:rPr>
          <w:rFonts w:eastAsiaTheme="minorHAnsi"/>
          <w:sz w:val="22"/>
          <w:szCs w:val="22"/>
        </w:rPr>
        <w:t xml:space="preserve">rease in primary care providers; while the need continues to increase </w:t>
      </w:r>
      <w:r w:rsidR="0029229C" w:rsidRPr="00344830">
        <w:rPr>
          <w:sz w:val="22"/>
          <w:szCs w:val="22"/>
        </w:rPr>
        <w:t xml:space="preserve">(The Commonwealth Fund, 2015, </w:t>
      </w:r>
      <w:r w:rsidR="0029229C" w:rsidRPr="00344830">
        <w:rPr>
          <w:rFonts w:eastAsiaTheme="minorHAnsi"/>
          <w:sz w:val="22"/>
          <w:szCs w:val="22"/>
        </w:rPr>
        <w:t>p. 118-119). The Coordination Reform which focuses on prevention, care integration, and the strengthening of municipal health care began in 2012. In 2012, a</w:t>
      </w:r>
      <w:r w:rsidR="00EC037C" w:rsidRPr="00344830">
        <w:rPr>
          <w:rFonts w:eastAsiaTheme="minorHAnsi"/>
          <w:sz w:val="22"/>
          <w:szCs w:val="22"/>
        </w:rPr>
        <w:t xml:space="preserve">nother program which focuses on </w:t>
      </w:r>
      <w:r w:rsidR="0029229C" w:rsidRPr="00344830">
        <w:rPr>
          <w:rFonts w:eastAsiaTheme="minorHAnsi"/>
          <w:sz w:val="22"/>
          <w:szCs w:val="22"/>
        </w:rPr>
        <w:t>non-punitive electronic Reporting and Learning System</w:t>
      </w:r>
      <w:r w:rsidR="00EC037C" w:rsidRPr="00344830">
        <w:rPr>
          <w:rFonts w:eastAsiaTheme="minorHAnsi"/>
          <w:sz w:val="22"/>
          <w:szCs w:val="22"/>
        </w:rPr>
        <w:t xml:space="preserve"> also</w:t>
      </w:r>
      <w:r w:rsidR="0029229C" w:rsidRPr="00344830">
        <w:rPr>
          <w:rFonts w:eastAsiaTheme="minorHAnsi"/>
          <w:sz w:val="22"/>
          <w:szCs w:val="22"/>
        </w:rPr>
        <w:t xml:space="preserve"> began. Although serious adverse events are investigated by a commission, this new system is geared toward preventing future harm to patients </w:t>
      </w:r>
      <w:r w:rsidR="005E5AB5" w:rsidRPr="00344830">
        <w:rPr>
          <w:sz w:val="22"/>
          <w:szCs w:val="22"/>
        </w:rPr>
        <w:t>(The Commonwealth Fund, 2015</w:t>
      </w:r>
      <w:r w:rsidR="005E5AB5" w:rsidRPr="00344830">
        <w:rPr>
          <w:rFonts w:eastAsiaTheme="minorHAnsi"/>
          <w:sz w:val="22"/>
          <w:szCs w:val="22"/>
        </w:rPr>
        <w:t xml:space="preserve">, </w:t>
      </w:r>
      <w:r w:rsidR="0029229C" w:rsidRPr="00344830">
        <w:rPr>
          <w:rFonts w:eastAsiaTheme="minorHAnsi"/>
          <w:sz w:val="22"/>
          <w:szCs w:val="22"/>
        </w:rPr>
        <w:t xml:space="preserve">p. 121). An important change which is occurring is the communication among general practitioners, hospitals, nursing homes, pharmacists, and other health care providers via health information technology (HIT). Every legal resident in Norway is given a unique personal identification number. This process is new, slow, and needs improvements. There is still lack of structure and standardized patient records in primary and secondary care so there is still lack of data for quality improvement </w:t>
      </w:r>
      <w:r w:rsidR="0029229C" w:rsidRPr="00344830">
        <w:rPr>
          <w:sz w:val="22"/>
          <w:szCs w:val="22"/>
        </w:rPr>
        <w:t>(The Commonwealth Fund, 2015</w:t>
      </w:r>
      <w:r w:rsidR="0029229C" w:rsidRPr="00344830">
        <w:rPr>
          <w:rFonts w:eastAsiaTheme="minorHAnsi"/>
          <w:sz w:val="22"/>
          <w:szCs w:val="22"/>
        </w:rPr>
        <w:t xml:space="preserve">, p. 120). </w:t>
      </w:r>
    </w:p>
    <w:p w14:paraId="02B31ACA" w14:textId="77777777" w:rsidR="0029229C" w:rsidRPr="00344830" w:rsidRDefault="0029229C" w:rsidP="00591B9A">
      <w:pPr>
        <w:jc w:val="center"/>
        <w:rPr>
          <w:rFonts w:ascii="Times New Roman" w:hAnsi="Times New Roman" w:cs="Times New Roman"/>
          <w:b/>
        </w:rPr>
      </w:pPr>
    </w:p>
    <w:p w14:paraId="51AA0230" w14:textId="0DF963CF" w:rsidR="00591B9A" w:rsidRPr="00344830" w:rsidRDefault="00591B9A" w:rsidP="00591B9A">
      <w:pPr>
        <w:jc w:val="center"/>
        <w:rPr>
          <w:rFonts w:ascii="Times New Roman" w:hAnsi="Times New Roman" w:cs="Times New Roman"/>
          <w:b/>
        </w:rPr>
      </w:pPr>
      <w:r w:rsidRPr="00344830">
        <w:rPr>
          <w:rFonts w:ascii="Times New Roman" w:hAnsi="Times New Roman" w:cs="Times New Roman"/>
          <w:b/>
        </w:rPr>
        <w:t>Cambodia</w:t>
      </w:r>
    </w:p>
    <w:p w14:paraId="1316022A" w14:textId="77777777" w:rsidR="00591B9A" w:rsidRPr="00344830" w:rsidRDefault="00591B9A" w:rsidP="00591B9A">
      <w:pPr>
        <w:rPr>
          <w:rFonts w:ascii="Times New Roman" w:hAnsi="Times New Roman" w:cs="Times New Roman"/>
          <w:b/>
        </w:rPr>
      </w:pPr>
      <w:r w:rsidRPr="00344830">
        <w:rPr>
          <w:rFonts w:ascii="Times New Roman" w:hAnsi="Times New Roman" w:cs="Times New Roman"/>
          <w:b/>
        </w:rPr>
        <w:t>Healthcare Coverage</w:t>
      </w:r>
    </w:p>
    <w:p w14:paraId="1DF15C09" w14:textId="27E1DB48" w:rsidR="008F6D92" w:rsidRPr="00344830" w:rsidRDefault="00EC037C" w:rsidP="0049035D">
      <w:pPr>
        <w:pStyle w:val="NormalWeb"/>
        <w:spacing w:before="0" w:beforeAutospacing="0" w:after="0" w:afterAutospacing="0"/>
        <w:ind w:firstLine="720"/>
        <w:textAlignment w:val="baseline"/>
        <w:rPr>
          <w:rFonts w:eastAsiaTheme="minorHAnsi"/>
          <w:sz w:val="22"/>
          <w:szCs w:val="22"/>
        </w:rPr>
      </w:pPr>
      <w:r w:rsidRPr="00344830">
        <w:rPr>
          <w:rFonts w:eastAsiaTheme="minorHAnsi"/>
          <w:sz w:val="22"/>
          <w:szCs w:val="22"/>
        </w:rPr>
        <w:lastRenderedPageBreak/>
        <w:t xml:space="preserve">The health system in Cambodia has experienced many periods of change throughout the years. </w:t>
      </w:r>
      <w:r w:rsidR="004F69BC" w:rsidRPr="00344830">
        <w:rPr>
          <w:rFonts w:eastAsiaTheme="minorHAnsi"/>
          <w:sz w:val="22"/>
          <w:szCs w:val="22"/>
        </w:rPr>
        <w:t xml:space="preserve">In the 1990s the country began </w:t>
      </w:r>
      <w:r w:rsidR="00680EBB" w:rsidRPr="00344830">
        <w:rPr>
          <w:rFonts w:eastAsiaTheme="minorHAnsi"/>
          <w:sz w:val="22"/>
          <w:szCs w:val="22"/>
        </w:rPr>
        <w:t xml:space="preserve">rebuilding the health system </w:t>
      </w:r>
      <w:r w:rsidRPr="00344830">
        <w:rPr>
          <w:rFonts w:eastAsiaTheme="minorHAnsi"/>
          <w:sz w:val="22"/>
          <w:szCs w:val="22"/>
        </w:rPr>
        <w:t>(</w:t>
      </w:r>
      <w:r w:rsidR="0049035D" w:rsidRPr="00344830">
        <w:rPr>
          <w:rFonts w:eastAsiaTheme="minorHAnsi"/>
          <w:sz w:val="22"/>
          <w:szCs w:val="22"/>
        </w:rPr>
        <w:t>Annear,</w:t>
      </w:r>
      <w:r w:rsidRPr="00344830">
        <w:rPr>
          <w:rFonts w:eastAsiaTheme="minorHAnsi"/>
          <w:sz w:val="22"/>
          <w:szCs w:val="22"/>
        </w:rPr>
        <w:t xml:space="preserve"> et al.</w:t>
      </w:r>
      <w:r w:rsidR="00F9419C" w:rsidRPr="00344830">
        <w:rPr>
          <w:rFonts w:eastAsiaTheme="minorHAnsi"/>
          <w:sz w:val="22"/>
          <w:szCs w:val="22"/>
        </w:rPr>
        <w:t>, 2015</w:t>
      </w:r>
      <w:r w:rsidRPr="00344830">
        <w:rPr>
          <w:rFonts w:eastAsiaTheme="minorHAnsi"/>
          <w:sz w:val="22"/>
          <w:szCs w:val="22"/>
        </w:rPr>
        <w:t>, p.xix</w:t>
      </w:r>
      <w:r w:rsidR="0049035D" w:rsidRPr="00344830">
        <w:rPr>
          <w:rFonts w:eastAsiaTheme="minorHAnsi"/>
          <w:sz w:val="22"/>
          <w:szCs w:val="22"/>
        </w:rPr>
        <w:t>).</w:t>
      </w:r>
      <w:r w:rsidRPr="00344830">
        <w:rPr>
          <w:rFonts w:eastAsiaTheme="minorHAnsi"/>
          <w:sz w:val="22"/>
          <w:szCs w:val="22"/>
        </w:rPr>
        <w:t xml:space="preserve"> </w:t>
      </w:r>
      <w:r w:rsidR="008F6D92" w:rsidRPr="00344830">
        <w:rPr>
          <w:rFonts w:eastAsiaTheme="minorHAnsi"/>
          <w:sz w:val="22"/>
          <w:szCs w:val="22"/>
        </w:rPr>
        <w:t>Private practitioners provide services through consultation clinic</w:t>
      </w:r>
      <w:r w:rsidR="0049035D" w:rsidRPr="00344830">
        <w:rPr>
          <w:rFonts w:eastAsiaTheme="minorHAnsi"/>
          <w:sz w:val="22"/>
          <w:szCs w:val="22"/>
        </w:rPr>
        <w:t>s (include clinical diagnosis) and</w:t>
      </w:r>
      <w:r w:rsidR="008F6D92" w:rsidRPr="00344830">
        <w:rPr>
          <w:rFonts w:eastAsiaTheme="minorHAnsi"/>
          <w:sz w:val="22"/>
          <w:szCs w:val="22"/>
        </w:rPr>
        <w:t xml:space="preserve"> outnumber government faci</w:t>
      </w:r>
      <w:r w:rsidR="0049035D" w:rsidRPr="00344830">
        <w:rPr>
          <w:rFonts w:eastAsiaTheme="minorHAnsi"/>
          <w:sz w:val="22"/>
          <w:szCs w:val="22"/>
        </w:rPr>
        <w:t xml:space="preserve">lities. Private sector providers have </w:t>
      </w:r>
      <w:r w:rsidR="008F6D92" w:rsidRPr="00344830">
        <w:rPr>
          <w:rFonts w:eastAsiaTheme="minorHAnsi"/>
          <w:sz w:val="22"/>
          <w:szCs w:val="22"/>
        </w:rPr>
        <w:t>a specific range of curative services. The public sector is mostly visited for health promotion and prevention activities; things such as basic reproduction, maternal, neonatal and child health, tuberculosis, malaria and HIV/AIDs control. There is a low utilization of public health faciliti</w:t>
      </w:r>
      <w:r w:rsidR="0049035D" w:rsidRPr="00344830">
        <w:rPr>
          <w:rFonts w:eastAsiaTheme="minorHAnsi"/>
          <w:sz w:val="22"/>
          <w:szCs w:val="22"/>
        </w:rPr>
        <w:t>es for curative care (Annear, et al, 2015, p.xxv</w:t>
      </w:r>
      <w:r w:rsidR="008F6D92" w:rsidRPr="00344830">
        <w:rPr>
          <w:rFonts w:eastAsiaTheme="minorHAnsi"/>
          <w:sz w:val="22"/>
          <w:szCs w:val="22"/>
        </w:rPr>
        <w:t>)</w:t>
      </w:r>
      <w:r w:rsidR="0049035D" w:rsidRPr="00344830">
        <w:rPr>
          <w:rFonts w:eastAsiaTheme="minorHAnsi"/>
          <w:sz w:val="22"/>
          <w:szCs w:val="22"/>
        </w:rPr>
        <w:t xml:space="preserve">. </w:t>
      </w:r>
      <w:r w:rsidR="008F6D92" w:rsidRPr="00344830">
        <w:rPr>
          <w:rFonts w:eastAsiaTheme="minorHAnsi"/>
          <w:sz w:val="22"/>
          <w:szCs w:val="22"/>
        </w:rPr>
        <w:t xml:space="preserve">Public health services are available through a national network of Health </w:t>
      </w:r>
      <w:r w:rsidR="0049035D" w:rsidRPr="00344830">
        <w:rPr>
          <w:rFonts w:eastAsiaTheme="minorHAnsi"/>
          <w:sz w:val="22"/>
          <w:szCs w:val="22"/>
        </w:rPr>
        <w:t>Centers and Referral Hospitals.</w:t>
      </w:r>
      <w:r w:rsidR="008F6D92" w:rsidRPr="00344830">
        <w:rPr>
          <w:rFonts w:eastAsiaTheme="minorHAnsi"/>
          <w:sz w:val="22"/>
          <w:szCs w:val="22"/>
        </w:rPr>
        <w:t xml:space="preserve"> </w:t>
      </w:r>
      <w:r w:rsidR="0049035D" w:rsidRPr="00344830">
        <w:rPr>
          <w:rFonts w:eastAsiaTheme="minorHAnsi"/>
          <w:sz w:val="22"/>
          <w:szCs w:val="22"/>
        </w:rPr>
        <w:t xml:space="preserve">Health Centers are the </w:t>
      </w:r>
      <w:r w:rsidR="008F6D92" w:rsidRPr="00344830">
        <w:rPr>
          <w:rFonts w:eastAsiaTheme="minorHAnsi"/>
          <w:sz w:val="22"/>
          <w:szCs w:val="22"/>
        </w:rPr>
        <w:t>first point of contact and gatekeepers to higher levels of care (maternal, neonatal and child health services, immunization, nutritional education, screening for breast and cervical cancer, safe abortion, treatment and prevention of communicable diseases, treatment and prevention of NCDs and inj</w:t>
      </w:r>
      <w:r w:rsidR="0049035D" w:rsidRPr="00344830">
        <w:rPr>
          <w:rFonts w:eastAsiaTheme="minorHAnsi"/>
          <w:sz w:val="22"/>
          <w:szCs w:val="22"/>
        </w:rPr>
        <w:t xml:space="preserve">uries, and outreach activities). Referral Hospitals </w:t>
      </w:r>
      <w:r w:rsidR="008F6D92" w:rsidRPr="00344830">
        <w:rPr>
          <w:rFonts w:eastAsiaTheme="minorHAnsi"/>
          <w:sz w:val="22"/>
          <w:szCs w:val="22"/>
        </w:rPr>
        <w:t>provide outpatient and inpatient cases, complicated TB cases, medical, surgical and obstetrical emergency cases, some surgery, maternal and child health services, X-ray, ultrasound and laboratory services, and rehabilitation services. Many patients go to the hospitals without going to the health centers. Pr</w:t>
      </w:r>
      <w:r w:rsidR="0049035D" w:rsidRPr="00344830">
        <w:rPr>
          <w:rFonts w:eastAsiaTheme="minorHAnsi"/>
          <w:sz w:val="22"/>
          <w:szCs w:val="22"/>
        </w:rPr>
        <w:t xml:space="preserve">ovincial and National Hospitals have the </w:t>
      </w:r>
      <w:r w:rsidR="008F6D92" w:rsidRPr="00344830">
        <w:rPr>
          <w:rFonts w:eastAsiaTheme="minorHAnsi"/>
          <w:sz w:val="22"/>
          <w:szCs w:val="22"/>
        </w:rPr>
        <w:t xml:space="preserve">highest-level package including hospitals and specialist hospitals for pediatrics, maternal and child health, TB, hematology and oncology in their early stages of development. </w:t>
      </w:r>
    </w:p>
    <w:p w14:paraId="7C341A89" w14:textId="77777777" w:rsidR="00EC037C" w:rsidRPr="00344830" w:rsidRDefault="00EC037C" w:rsidP="00591B9A">
      <w:pPr>
        <w:rPr>
          <w:rFonts w:ascii="Times New Roman" w:hAnsi="Times New Roman" w:cs="Times New Roman"/>
        </w:rPr>
      </w:pPr>
    </w:p>
    <w:p w14:paraId="4E5DAFBE" w14:textId="77777777" w:rsidR="00591B9A" w:rsidRPr="00344830" w:rsidRDefault="00591B9A" w:rsidP="00591B9A">
      <w:pPr>
        <w:rPr>
          <w:rFonts w:ascii="Times New Roman" w:hAnsi="Times New Roman" w:cs="Times New Roman"/>
          <w:b/>
        </w:rPr>
      </w:pPr>
      <w:r w:rsidRPr="00344830">
        <w:rPr>
          <w:rFonts w:ascii="Times New Roman" w:hAnsi="Times New Roman" w:cs="Times New Roman"/>
          <w:b/>
        </w:rPr>
        <w:t>Population Covered</w:t>
      </w:r>
    </w:p>
    <w:p w14:paraId="128957D6" w14:textId="402747EB" w:rsidR="00804370" w:rsidRPr="00344830" w:rsidRDefault="0049035D" w:rsidP="0049035D">
      <w:pPr>
        <w:pStyle w:val="NormalWeb"/>
        <w:spacing w:before="0" w:beforeAutospacing="0" w:after="0" w:afterAutospacing="0"/>
        <w:ind w:firstLine="720"/>
        <w:textAlignment w:val="baseline"/>
        <w:rPr>
          <w:rFonts w:eastAsiaTheme="minorHAnsi"/>
          <w:sz w:val="22"/>
          <w:szCs w:val="22"/>
        </w:rPr>
      </w:pPr>
      <w:r w:rsidRPr="00344830">
        <w:rPr>
          <w:rFonts w:eastAsiaTheme="minorHAnsi"/>
          <w:sz w:val="22"/>
          <w:szCs w:val="22"/>
        </w:rPr>
        <w:t>The population covered is variable because it depends on w</w:t>
      </w:r>
      <w:r w:rsidR="00804370" w:rsidRPr="00344830">
        <w:rPr>
          <w:rFonts w:eastAsiaTheme="minorHAnsi"/>
          <w:sz w:val="22"/>
          <w:szCs w:val="22"/>
        </w:rPr>
        <w:t xml:space="preserve">hoever is able to </w:t>
      </w:r>
      <w:r w:rsidRPr="00344830">
        <w:rPr>
          <w:rFonts w:eastAsiaTheme="minorHAnsi"/>
          <w:sz w:val="22"/>
          <w:szCs w:val="22"/>
        </w:rPr>
        <w:t xml:space="preserve">reach and afford the services available. </w:t>
      </w:r>
      <w:r w:rsidR="00804370" w:rsidRPr="00344830">
        <w:rPr>
          <w:rFonts w:eastAsiaTheme="minorHAnsi"/>
          <w:sz w:val="22"/>
          <w:szCs w:val="22"/>
        </w:rPr>
        <w:t>There is no compulsory health insurance or social health insurance coverage.</w:t>
      </w:r>
    </w:p>
    <w:p w14:paraId="39FB6072" w14:textId="77777777" w:rsidR="00804370" w:rsidRPr="00344830" w:rsidRDefault="00804370" w:rsidP="00804370">
      <w:pPr>
        <w:pStyle w:val="NormalWeb"/>
        <w:spacing w:before="0" w:beforeAutospacing="0" w:after="0" w:afterAutospacing="0"/>
        <w:textAlignment w:val="baseline"/>
        <w:rPr>
          <w:rFonts w:eastAsiaTheme="minorHAnsi"/>
          <w:sz w:val="22"/>
          <w:szCs w:val="22"/>
        </w:rPr>
      </w:pPr>
      <w:r w:rsidRPr="00344830">
        <w:rPr>
          <w:rFonts w:eastAsiaTheme="minorHAnsi"/>
          <w:sz w:val="22"/>
          <w:szCs w:val="22"/>
        </w:rPr>
        <w:t xml:space="preserve">The National Social Security Fund providers benefits to private-sector employees who have suffered a work injury. The national Social Security Fund for Civil Service does not provide health benefits. </w:t>
      </w:r>
    </w:p>
    <w:p w14:paraId="1ED7AE84" w14:textId="2903DC85" w:rsidR="00804370" w:rsidRPr="00344830" w:rsidRDefault="00804370" w:rsidP="00804370">
      <w:pPr>
        <w:pStyle w:val="NormalWeb"/>
        <w:spacing w:before="0" w:beforeAutospacing="0" w:after="0" w:afterAutospacing="0"/>
        <w:textAlignment w:val="baseline"/>
        <w:rPr>
          <w:rFonts w:eastAsiaTheme="minorHAnsi"/>
          <w:sz w:val="22"/>
          <w:szCs w:val="22"/>
        </w:rPr>
      </w:pPr>
      <w:r w:rsidRPr="00344830">
        <w:rPr>
          <w:rFonts w:eastAsiaTheme="minorHAnsi"/>
          <w:sz w:val="22"/>
          <w:szCs w:val="22"/>
        </w:rPr>
        <w:t>The voluntary health insurance market which serves rural communities and urban workers; however, this coverage is low because most cannot afford the premiums. Health funds provide coverage and financial protection for the poor but only consists for one fourth of the national population. (A</w:t>
      </w:r>
      <w:r w:rsidR="0049035D" w:rsidRPr="00344830">
        <w:rPr>
          <w:rFonts w:eastAsiaTheme="minorHAnsi"/>
          <w:sz w:val="22"/>
          <w:szCs w:val="22"/>
        </w:rPr>
        <w:t>nnear,</w:t>
      </w:r>
      <w:r w:rsidRPr="00344830">
        <w:rPr>
          <w:rFonts w:eastAsiaTheme="minorHAnsi"/>
          <w:sz w:val="22"/>
          <w:szCs w:val="22"/>
        </w:rPr>
        <w:t xml:space="preserve"> et al, 2015, p.xxiv)</w:t>
      </w:r>
    </w:p>
    <w:p w14:paraId="63C5EE2C" w14:textId="77777777" w:rsidR="00804370" w:rsidRPr="00344830" w:rsidRDefault="00804370" w:rsidP="00591B9A">
      <w:pPr>
        <w:rPr>
          <w:rFonts w:ascii="Times New Roman" w:hAnsi="Times New Roman" w:cs="Times New Roman"/>
          <w:b/>
        </w:rPr>
      </w:pPr>
    </w:p>
    <w:p w14:paraId="7B2BE57C" w14:textId="77777777" w:rsidR="00591B9A" w:rsidRPr="00344830" w:rsidRDefault="00591B9A" w:rsidP="00591B9A">
      <w:pPr>
        <w:rPr>
          <w:rFonts w:ascii="Times New Roman" w:hAnsi="Times New Roman" w:cs="Times New Roman"/>
          <w:b/>
        </w:rPr>
      </w:pPr>
      <w:r w:rsidRPr="00344830">
        <w:rPr>
          <w:rFonts w:ascii="Times New Roman" w:hAnsi="Times New Roman" w:cs="Times New Roman"/>
          <w:b/>
        </w:rPr>
        <w:t xml:space="preserve">Healthcare Financial System </w:t>
      </w:r>
    </w:p>
    <w:p w14:paraId="4A3D4292" w14:textId="1A9DBD9F" w:rsidR="00804370" w:rsidRPr="00344830" w:rsidRDefault="00F9419C" w:rsidP="005F7F20">
      <w:pPr>
        <w:ind w:firstLine="720"/>
        <w:rPr>
          <w:rFonts w:ascii="Times New Roman" w:hAnsi="Times New Roman" w:cs="Times New Roman"/>
        </w:rPr>
      </w:pPr>
      <w:r w:rsidRPr="00344830">
        <w:rPr>
          <w:rFonts w:ascii="Times New Roman" w:hAnsi="Times New Roman" w:cs="Times New Roman"/>
        </w:rPr>
        <w:t>The total healthcare expenditure for the country is 5.9% GDP (World Health Organization &amp; Ministry of Health, Cambodia, 2012, p. 1)</w:t>
      </w:r>
      <w:r w:rsidR="0049035D" w:rsidRPr="00344830">
        <w:rPr>
          <w:rFonts w:ascii="Times New Roman" w:hAnsi="Times New Roman" w:cs="Times New Roman"/>
        </w:rPr>
        <w:t xml:space="preserve">. The country has a mixed health system of public and private entities, </w:t>
      </w:r>
      <w:r w:rsidR="00804370" w:rsidRPr="00344830">
        <w:rPr>
          <w:rFonts w:ascii="Times New Roman" w:hAnsi="Times New Roman" w:cs="Times New Roman"/>
        </w:rPr>
        <w:t>with different service providers and ma</w:t>
      </w:r>
      <w:r w:rsidR="0049035D" w:rsidRPr="00344830">
        <w:rPr>
          <w:rFonts w:ascii="Times New Roman" w:hAnsi="Times New Roman" w:cs="Times New Roman"/>
        </w:rPr>
        <w:t xml:space="preserve">ny funding sources (Annear, et al, 2015, </w:t>
      </w:r>
      <w:r w:rsidR="00BF3D2A" w:rsidRPr="00344830">
        <w:rPr>
          <w:rFonts w:ascii="Times New Roman" w:hAnsi="Times New Roman" w:cs="Times New Roman"/>
        </w:rPr>
        <w:t>p.xxiv)</w:t>
      </w:r>
      <w:r w:rsidR="0049035D" w:rsidRPr="00344830">
        <w:rPr>
          <w:rFonts w:ascii="Times New Roman" w:hAnsi="Times New Roman" w:cs="Times New Roman"/>
        </w:rPr>
        <w:t xml:space="preserve">. </w:t>
      </w:r>
      <w:r w:rsidR="00804370" w:rsidRPr="00344830">
        <w:rPr>
          <w:rFonts w:ascii="Times New Roman" w:hAnsi="Times New Roman" w:cs="Times New Roman"/>
        </w:rPr>
        <w:t>Public health service delivery is organized through two levels of services a</w:t>
      </w:r>
      <w:r w:rsidR="002067A0" w:rsidRPr="00344830">
        <w:rPr>
          <w:rFonts w:ascii="Times New Roman" w:hAnsi="Times New Roman" w:cs="Times New Roman"/>
        </w:rPr>
        <w:t>nd both are provided in operatio</w:t>
      </w:r>
      <w:r w:rsidR="00804370" w:rsidRPr="00344830">
        <w:rPr>
          <w:rFonts w:ascii="Times New Roman" w:hAnsi="Times New Roman" w:cs="Times New Roman"/>
        </w:rPr>
        <w:t>nal districts. The minimum package of activity provided at the health centers and the complementary package of activity pro</w:t>
      </w:r>
      <w:r w:rsidR="002067A0" w:rsidRPr="00344830">
        <w:rPr>
          <w:rFonts w:ascii="Times New Roman" w:hAnsi="Times New Roman" w:cs="Times New Roman"/>
        </w:rPr>
        <w:t xml:space="preserve">vided at the referral hospitals. </w:t>
      </w:r>
      <w:r w:rsidR="00804370" w:rsidRPr="00344830">
        <w:rPr>
          <w:rFonts w:ascii="Times New Roman" w:hAnsi="Times New Roman" w:cs="Times New Roman"/>
        </w:rPr>
        <w:t xml:space="preserve">The private sector does not deliver minimum and complementary packages. Instead they deliver limited range of services. Tertiary services are provided by six National Hospitals which </w:t>
      </w:r>
      <w:r w:rsidR="006D3753" w:rsidRPr="00344830">
        <w:rPr>
          <w:rFonts w:ascii="Times New Roman" w:hAnsi="Times New Roman" w:cs="Times New Roman"/>
        </w:rPr>
        <w:t xml:space="preserve">are </w:t>
      </w:r>
      <w:r w:rsidR="002067A0" w:rsidRPr="00344830">
        <w:rPr>
          <w:rFonts w:ascii="Times New Roman" w:hAnsi="Times New Roman" w:cs="Times New Roman"/>
        </w:rPr>
        <w:t>semi-autonomous</w:t>
      </w:r>
      <w:r w:rsidR="005F7F20" w:rsidRPr="00344830">
        <w:rPr>
          <w:rFonts w:ascii="Times New Roman" w:hAnsi="Times New Roman" w:cs="Times New Roman"/>
        </w:rPr>
        <w:t xml:space="preserve"> (World Health Organization &amp; Ministry of Health, Cambodia, 2012, </w:t>
      </w:r>
      <w:r w:rsidR="00804370" w:rsidRPr="00344830">
        <w:rPr>
          <w:rFonts w:ascii="Times New Roman" w:hAnsi="Times New Roman" w:cs="Times New Roman"/>
        </w:rPr>
        <w:t>p.2)</w:t>
      </w:r>
      <w:r w:rsidR="005F7F20" w:rsidRPr="00344830">
        <w:rPr>
          <w:rFonts w:ascii="Times New Roman" w:hAnsi="Times New Roman" w:cs="Times New Roman"/>
        </w:rPr>
        <w:t xml:space="preserve">. </w:t>
      </w:r>
      <w:r w:rsidR="006D3753" w:rsidRPr="00344830">
        <w:rPr>
          <w:rFonts w:ascii="Times New Roman" w:hAnsi="Times New Roman" w:cs="Times New Roman"/>
        </w:rPr>
        <w:t xml:space="preserve">Private services are not government-subsidized and are set by each provider with little to no regulation. </w:t>
      </w:r>
      <w:r w:rsidR="00804370" w:rsidRPr="00344830">
        <w:rPr>
          <w:rFonts w:ascii="Times New Roman" w:hAnsi="Times New Roman" w:cs="Times New Roman"/>
        </w:rPr>
        <w:t xml:space="preserve">In 2009, expenditures on health services were paid by the government (21.27%) mostly from taxation revenues with support from external development partners, and </w:t>
      </w:r>
      <w:r w:rsidR="005F7F20" w:rsidRPr="00344830">
        <w:rPr>
          <w:rFonts w:ascii="Times New Roman" w:hAnsi="Times New Roman" w:cs="Times New Roman"/>
        </w:rPr>
        <w:t xml:space="preserve">out-of-pocket payments (73.1%). </w:t>
      </w:r>
      <w:r w:rsidR="00804370" w:rsidRPr="00344830">
        <w:rPr>
          <w:rFonts w:ascii="Times New Roman" w:hAnsi="Times New Roman" w:cs="Times New Roman"/>
        </w:rPr>
        <w:t xml:space="preserve">Cambodia has </w:t>
      </w:r>
      <w:r w:rsidR="005F7F20" w:rsidRPr="00344830">
        <w:rPr>
          <w:rFonts w:ascii="Times New Roman" w:hAnsi="Times New Roman" w:cs="Times New Roman"/>
        </w:rPr>
        <w:t>one of the largest out-of-pocket</w:t>
      </w:r>
      <w:r w:rsidR="00804370" w:rsidRPr="00344830">
        <w:rPr>
          <w:rFonts w:ascii="Times New Roman" w:hAnsi="Times New Roman" w:cs="Times New Roman"/>
        </w:rPr>
        <w:t xml:space="preserve"> systems</w:t>
      </w:r>
      <w:r w:rsidR="005F7F20" w:rsidRPr="00344830">
        <w:rPr>
          <w:rFonts w:ascii="Times New Roman" w:hAnsi="Times New Roman" w:cs="Times New Roman"/>
        </w:rPr>
        <w:t xml:space="preserve"> in the Western Pacific Region. </w:t>
      </w:r>
      <w:r w:rsidR="00804370" w:rsidRPr="00344830">
        <w:rPr>
          <w:rFonts w:ascii="Times New Roman" w:hAnsi="Times New Roman" w:cs="Times New Roman"/>
        </w:rPr>
        <w:t>Approximately 68% of payments are out-of-pocket and mainly go to private medical services. Only 18.5% is spent in the public sector. People mainly pay these health costs using savings, wages/earning, borrowing money, and selling assets</w:t>
      </w:r>
      <w:r w:rsidR="005F7F20" w:rsidRPr="00344830">
        <w:rPr>
          <w:rFonts w:ascii="Times New Roman" w:hAnsi="Times New Roman" w:cs="Times New Roman"/>
        </w:rPr>
        <w:t xml:space="preserve">. </w:t>
      </w:r>
      <w:r w:rsidR="00804370" w:rsidRPr="00344830">
        <w:rPr>
          <w:rFonts w:ascii="Times New Roman" w:hAnsi="Times New Roman" w:cs="Times New Roman"/>
        </w:rPr>
        <w:t xml:space="preserve">Minimum and complementary packages are </w:t>
      </w:r>
      <w:r w:rsidR="006D3753" w:rsidRPr="00344830">
        <w:rPr>
          <w:rFonts w:ascii="Times New Roman" w:hAnsi="Times New Roman" w:cs="Times New Roman"/>
        </w:rPr>
        <w:t>subsidized by the government and u</w:t>
      </w:r>
      <w:r w:rsidR="00804370" w:rsidRPr="00344830">
        <w:rPr>
          <w:rFonts w:ascii="Times New Roman" w:hAnsi="Times New Roman" w:cs="Times New Roman"/>
        </w:rPr>
        <w:t>sers pay for consultation fees, treatment f</w:t>
      </w:r>
      <w:r w:rsidR="006D3753" w:rsidRPr="00344830">
        <w:rPr>
          <w:rFonts w:ascii="Times New Roman" w:hAnsi="Times New Roman" w:cs="Times New Roman"/>
        </w:rPr>
        <w:t>ees, and out-of-stock medicines</w:t>
      </w:r>
      <w:r w:rsidR="00804370" w:rsidRPr="00344830">
        <w:rPr>
          <w:rFonts w:ascii="Times New Roman" w:hAnsi="Times New Roman" w:cs="Times New Roman"/>
        </w:rPr>
        <w:t>. Health Equity Funds reimburse providers for services delivered to eligible poor and meet patient food, transport and other costs related to access</w:t>
      </w:r>
      <w:r w:rsidR="005F7F20" w:rsidRPr="00344830">
        <w:rPr>
          <w:rFonts w:ascii="Times New Roman" w:hAnsi="Times New Roman" w:cs="Times New Roman"/>
        </w:rPr>
        <w:t xml:space="preserve"> (World Health Organization &amp; Ministry of Health, Cambodia, 2012, p.3</w:t>
      </w:r>
      <w:r w:rsidR="00804370" w:rsidRPr="00344830">
        <w:rPr>
          <w:rFonts w:ascii="Times New Roman" w:hAnsi="Times New Roman" w:cs="Times New Roman"/>
        </w:rPr>
        <w:t>)</w:t>
      </w:r>
      <w:r w:rsidR="005F7F20" w:rsidRPr="00344830">
        <w:rPr>
          <w:rFonts w:ascii="Times New Roman" w:hAnsi="Times New Roman" w:cs="Times New Roman"/>
        </w:rPr>
        <w:t xml:space="preserve">. </w:t>
      </w:r>
      <w:r w:rsidR="006D3753" w:rsidRPr="00344830">
        <w:rPr>
          <w:rFonts w:ascii="Times New Roman" w:hAnsi="Times New Roman" w:cs="Times New Roman"/>
        </w:rPr>
        <w:lastRenderedPageBreak/>
        <w:t>The C</w:t>
      </w:r>
      <w:r w:rsidR="00804370" w:rsidRPr="00344830">
        <w:rPr>
          <w:rFonts w:ascii="Times New Roman" w:hAnsi="Times New Roman" w:cs="Times New Roman"/>
        </w:rPr>
        <w:t>ambodian health market has a wide variety of health care providers. Two thirds of public health staff work privately.</w:t>
      </w:r>
      <w:r w:rsidR="005F7F20" w:rsidRPr="00344830">
        <w:rPr>
          <w:rFonts w:ascii="Times New Roman" w:hAnsi="Times New Roman" w:cs="Times New Roman"/>
        </w:rPr>
        <w:t xml:space="preserve"> </w:t>
      </w:r>
      <w:r w:rsidR="00804370" w:rsidRPr="00344830">
        <w:rPr>
          <w:rFonts w:ascii="Times New Roman" w:hAnsi="Times New Roman" w:cs="Times New Roman"/>
        </w:rPr>
        <w:t>The national budget has doubled since 2007. Foreign donors finance about 50% of government health spending through grants and loans and patient out-of-pocket payments accounted for 60% of th</w:t>
      </w:r>
      <w:r w:rsidR="005F7F20" w:rsidRPr="00344830">
        <w:rPr>
          <w:rFonts w:ascii="Times New Roman" w:hAnsi="Times New Roman" w:cs="Times New Roman"/>
        </w:rPr>
        <w:t xml:space="preserve">e Total health expenditure. </w:t>
      </w:r>
      <w:r w:rsidR="00804370" w:rsidRPr="00344830">
        <w:rPr>
          <w:rFonts w:ascii="Times New Roman" w:hAnsi="Times New Roman" w:cs="Times New Roman"/>
        </w:rPr>
        <w:t>Government health services are financed from general revenues and are supported by donor funding. One third of tax revenues are from Value Added Tax</w:t>
      </w:r>
      <w:r w:rsidR="005F7F20" w:rsidRPr="00344830">
        <w:rPr>
          <w:rFonts w:ascii="Times New Roman" w:hAnsi="Times New Roman" w:cs="Times New Roman"/>
        </w:rPr>
        <w:t xml:space="preserve"> and there are no health taxes </w:t>
      </w:r>
      <w:r w:rsidR="00804370" w:rsidRPr="00344830">
        <w:rPr>
          <w:rFonts w:ascii="Times New Roman" w:hAnsi="Times New Roman" w:cs="Times New Roman"/>
        </w:rPr>
        <w:t xml:space="preserve">(Annear, P.L, et al, 2015, </w:t>
      </w:r>
      <w:r w:rsidR="005F7F20" w:rsidRPr="00344830">
        <w:rPr>
          <w:rFonts w:ascii="Times New Roman" w:hAnsi="Times New Roman" w:cs="Times New Roman"/>
        </w:rPr>
        <w:t xml:space="preserve">p.xxii). </w:t>
      </w:r>
    </w:p>
    <w:p w14:paraId="5E0FC19A" w14:textId="77777777" w:rsidR="00591B9A" w:rsidRPr="00344830" w:rsidRDefault="00591B9A" w:rsidP="00591B9A">
      <w:pPr>
        <w:rPr>
          <w:rFonts w:ascii="Times New Roman" w:hAnsi="Times New Roman" w:cs="Times New Roman"/>
          <w:b/>
        </w:rPr>
      </w:pPr>
      <w:r w:rsidRPr="00344830">
        <w:rPr>
          <w:rFonts w:ascii="Times New Roman" w:hAnsi="Times New Roman" w:cs="Times New Roman"/>
          <w:b/>
        </w:rPr>
        <w:t>Point of Access</w:t>
      </w:r>
    </w:p>
    <w:p w14:paraId="65D7F3CE" w14:textId="3DCCCF38" w:rsidR="006D3753" w:rsidRPr="00344830" w:rsidRDefault="006D3753" w:rsidP="00591B9A">
      <w:pPr>
        <w:rPr>
          <w:rFonts w:ascii="Times New Roman" w:hAnsi="Times New Roman" w:cs="Times New Roman"/>
        </w:rPr>
      </w:pPr>
      <w:r w:rsidRPr="00344830">
        <w:rPr>
          <w:rFonts w:ascii="Times New Roman" w:hAnsi="Times New Roman" w:cs="Times New Roman"/>
          <w:b/>
        </w:rPr>
        <w:tab/>
      </w:r>
      <w:r w:rsidRPr="00344830">
        <w:rPr>
          <w:rFonts w:ascii="Times New Roman" w:hAnsi="Times New Roman" w:cs="Times New Roman"/>
        </w:rPr>
        <w:t xml:space="preserve">The point of access for Cambodians depends on what services they are able to afford, and if they have the ability to travel in order to receive services. Most of the available services according to socioeconomic status was discussed in the “Healthcare Coverage” section. </w:t>
      </w:r>
    </w:p>
    <w:p w14:paraId="1D831F04" w14:textId="77777777" w:rsidR="00591B9A" w:rsidRPr="00344830" w:rsidRDefault="00591B9A" w:rsidP="00591B9A">
      <w:pPr>
        <w:rPr>
          <w:rFonts w:ascii="Times New Roman" w:hAnsi="Times New Roman" w:cs="Times New Roman"/>
          <w:b/>
        </w:rPr>
      </w:pPr>
      <w:r w:rsidRPr="00344830">
        <w:rPr>
          <w:rFonts w:ascii="Times New Roman" w:hAnsi="Times New Roman" w:cs="Times New Roman"/>
          <w:b/>
        </w:rPr>
        <w:t>System Strengths</w:t>
      </w:r>
    </w:p>
    <w:p w14:paraId="36239B21" w14:textId="5054F215" w:rsidR="00804370" w:rsidRPr="00344830" w:rsidRDefault="006D3753" w:rsidP="006D3753">
      <w:pPr>
        <w:pStyle w:val="NormalWeb"/>
        <w:spacing w:before="0" w:beforeAutospacing="0" w:after="0" w:afterAutospacing="0"/>
        <w:ind w:firstLine="720"/>
        <w:textAlignment w:val="baseline"/>
        <w:rPr>
          <w:rFonts w:eastAsiaTheme="minorHAnsi"/>
          <w:sz w:val="22"/>
          <w:szCs w:val="22"/>
        </w:rPr>
      </w:pPr>
      <w:r w:rsidRPr="00344830">
        <w:rPr>
          <w:rFonts w:eastAsiaTheme="minorHAnsi"/>
          <w:sz w:val="22"/>
          <w:szCs w:val="22"/>
        </w:rPr>
        <w:t>Finding strengths in this system was difficult as they are just beginning to expand on their system and improve it. One strength is t</w:t>
      </w:r>
      <w:r w:rsidR="00804370" w:rsidRPr="00344830">
        <w:rPr>
          <w:rFonts w:eastAsiaTheme="minorHAnsi"/>
          <w:sz w:val="22"/>
          <w:szCs w:val="22"/>
        </w:rPr>
        <w:t xml:space="preserve">he system has improved vastly since the 1990s in terms of providing health care. </w:t>
      </w:r>
      <w:r w:rsidRPr="00344830">
        <w:rPr>
          <w:rFonts w:eastAsiaTheme="minorHAnsi"/>
          <w:sz w:val="22"/>
          <w:szCs w:val="22"/>
        </w:rPr>
        <w:t xml:space="preserve">In addition, there is a willingness from </w:t>
      </w:r>
      <w:r w:rsidR="00804370" w:rsidRPr="00344830">
        <w:rPr>
          <w:rFonts w:eastAsiaTheme="minorHAnsi"/>
          <w:sz w:val="22"/>
          <w:szCs w:val="22"/>
        </w:rPr>
        <w:t xml:space="preserve">the Cambodian Government to </w:t>
      </w:r>
      <w:r w:rsidRPr="00344830">
        <w:rPr>
          <w:rFonts w:eastAsiaTheme="minorHAnsi"/>
          <w:sz w:val="22"/>
          <w:szCs w:val="22"/>
        </w:rPr>
        <w:t xml:space="preserve">pursue </w:t>
      </w:r>
      <w:r w:rsidR="00804370" w:rsidRPr="00344830">
        <w:rPr>
          <w:rFonts w:eastAsiaTheme="minorHAnsi"/>
          <w:sz w:val="22"/>
          <w:szCs w:val="22"/>
        </w:rPr>
        <w:t xml:space="preserve">international cooperation </w:t>
      </w:r>
      <w:r w:rsidRPr="00344830">
        <w:rPr>
          <w:rFonts w:eastAsiaTheme="minorHAnsi"/>
          <w:sz w:val="22"/>
          <w:szCs w:val="22"/>
        </w:rPr>
        <w:t>and has increased the</w:t>
      </w:r>
      <w:r w:rsidR="00804370" w:rsidRPr="00344830">
        <w:rPr>
          <w:rFonts w:eastAsiaTheme="minorHAnsi"/>
          <w:sz w:val="22"/>
          <w:szCs w:val="22"/>
        </w:rPr>
        <w:t xml:space="preserve"> ability to improve health care and </w:t>
      </w:r>
      <w:r w:rsidRPr="00344830">
        <w:rPr>
          <w:rFonts w:eastAsiaTheme="minorHAnsi"/>
          <w:sz w:val="22"/>
          <w:szCs w:val="22"/>
        </w:rPr>
        <w:t xml:space="preserve">the overall </w:t>
      </w:r>
      <w:r w:rsidR="00804370" w:rsidRPr="00344830">
        <w:rPr>
          <w:rFonts w:eastAsiaTheme="minorHAnsi"/>
          <w:sz w:val="22"/>
          <w:szCs w:val="22"/>
        </w:rPr>
        <w:t xml:space="preserve">health in Cambodia. </w:t>
      </w:r>
    </w:p>
    <w:p w14:paraId="3D9E9B05" w14:textId="77777777" w:rsidR="00804370" w:rsidRPr="00344830" w:rsidRDefault="00804370" w:rsidP="00804370">
      <w:pPr>
        <w:pStyle w:val="NormalWeb"/>
        <w:spacing w:before="0" w:beforeAutospacing="0" w:after="0" w:afterAutospacing="0"/>
        <w:textAlignment w:val="baseline"/>
        <w:rPr>
          <w:rFonts w:eastAsiaTheme="minorHAnsi"/>
          <w:sz w:val="22"/>
          <w:szCs w:val="22"/>
        </w:rPr>
      </w:pPr>
    </w:p>
    <w:p w14:paraId="4A49AFC6" w14:textId="77777777" w:rsidR="00591B9A" w:rsidRPr="00344830" w:rsidRDefault="00591B9A" w:rsidP="00591B9A">
      <w:pPr>
        <w:rPr>
          <w:rFonts w:ascii="Times New Roman" w:hAnsi="Times New Roman" w:cs="Times New Roman"/>
          <w:b/>
        </w:rPr>
      </w:pPr>
      <w:r w:rsidRPr="00344830">
        <w:rPr>
          <w:rFonts w:ascii="Times New Roman" w:hAnsi="Times New Roman" w:cs="Times New Roman"/>
          <w:b/>
        </w:rPr>
        <w:t>System Weaknesses</w:t>
      </w:r>
    </w:p>
    <w:p w14:paraId="51A1E8C6" w14:textId="1614669D" w:rsidR="00804370" w:rsidRPr="00344830" w:rsidRDefault="006D3753" w:rsidP="00144CF3">
      <w:pPr>
        <w:pStyle w:val="NormalWeb"/>
        <w:spacing w:before="0" w:beforeAutospacing="0" w:after="0" w:afterAutospacing="0"/>
        <w:ind w:firstLine="720"/>
        <w:textAlignment w:val="baseline"/>
        <w:rPr>
          <w:rFonts w:eastAsiaTheme="minorHAnsi"/>
          <w:sz w:val="22"/>
          <w:szCs w:val="22"/>
        </w:rPr>
      </w:pPr>
      <w:r w:rsidRPr="00344830">
        <w:rPr>
          <w:rFonts w:eastAsiaTheme="minorHAnsi"/>
          <w:sz w:val="22"/>
          <w:szCs w:val="22"/>
        </w:rPr>
        <w:t xml:space="preserve">There are endless system weaknesses since this country is just now starting to solidify their healthcare delivery system. Firstly, there are persistently </w:t>
      </w:r>
      <w:r w:rsidR="00804370" w:rsidRPr="00344830">
        <w:rPr>
          <w:rFonts w:eastAsiaTheme="minorHAnsi"/>
          <w:sz w:val="22"/>
          <w:szCs w:val="22"/>
        </w:rPr>
        <w:t xml:space="preserve">high levels of out of pocket payments which account for more than 60% of total health </w:t>
      </w:r>
      <w:r w:rsidRPr="00344830">
        <w:rPr>
          <w:rFonts w:eastAsiaTheme="minorHAnsi"/>
          <w:sz w:val="22"/>
          <w:szCs w:val="22"/>
        </w:rPr>
        <w:t>expenditures</w:t>
      </w:r>
      <w:r w:rsidR="00804370" w:rsidRPr="00344830">
        <w:rPr>
          <w:rFonts w:eastAsiaTheme="minorHAnsi"/>
          <w:sz w:val="22"/>
          <w:szCs w:val="22"/>
        </w:rPr>
        <w:t xml:space="preserve"> </w:t>
      </w:r>
      <w:r w:rsidRPr="00344830">
        <w:rPr>
          <w:rFonts w:eastAsiaTheme="minorHAnsi"/>
          <w:sz w:val="22"/>
          <w:szCs w:val="22"/>
        </w:rPr>
        <w:t>(</w:t>
      </w:r>
      <w:r w:rsidRPr="00344830">
        <w:rPr>
          <w:sz w:val="22"/>
          <w:szCs w:val="22"/>
        </w:rPr>
        <w:t xml:space="preserve">World Health Organization, </w:t>
      </w:r>
      <w:r w:rsidR="00804370" w:rsidRPr="00344830">
        <w:rPr>
          <w:rFonts w:eastAsiaTheme="minorHAnsi"/>
          <w:sz w:val="22"/>
          <w:szCs w:val="22"/>
        </w:rPr>
        <w:t>2014, p. 1)</w:t>
      </w:r>
      <w:r w:rsidRPr="00344830">
        <w:rPr>
          <w:rFonts w:eastAsiaTheme="minorHAnsi"/>
          <w:sz w:val="22"/>
          <w:szCs w:val="22"/>
        </w:rPr>
        <w:t xml:space="preserve">. </w:t>
      </w:r>
      <w:r w:rsidR="00B75CB9" w:rsidRPr="00344830">
        <w:rPr>
          <w:rFonts w:eastAsiaTheme="minorHAnsi"/>
          <w:sz w:val="22"/>
          <w:szCs w:val="22"/>
        </w:rPr>
        <w:t>One problem emerging from this is the rapid growth of unregulated private health-care sector which now delivers the majority of health services. (Annear,</w:t>
      </w:r>
      <w:r w:rsidR="00144CF3" w:rsidRPr="00344830">
        <w:rPr>
          <w:rFonts w:eastAsiaTheme="minorHAnsi"/>
          <w:sz w:val="22"/>
          <w:szCs w:val="22"/>
        </w:rPr>
        <w:t xml:space="preserve"> et al, 2015, p.xix</w:t>
      </w:r>
      <w:r w:rsidR="00B75CB9" w:rsidRPr="00344830">
        <w:rPr>
          <w:rFonts w:eastAsiaTheme="minorHAnsi"/>
          <w:sz w:val="22"/>
          <w:szCs w:val="22"/>
        </w:rPr>
        <w:t>)</w:t>
      </w:r>
      <w:r w:rsidR="00144CF3" w:rsidRPr="00344830">
        <w:rPr>
          <w:rFonts w:eastAsiaTheme="minorHAnsi"/>
          <w:sz w:val="22"/>
          <w:szCs w:val="22"/>
        </w:rPr>
        <w:t>. Most out--of-pocket expenditures are paid to private providers and account for the largest part of h</w:t>
      </w:r>
      <w:r w:rsidR="00344830" w:rsidRPr="00344830">
        <w:rPr>
          <w:rFonts w:eastAsiaTheme="minorHAnsi"/>
          <w:sz w:val="22"/>
          <w:szCs w:val="22"/>
        </w:rPr>
        <w:t xml:space="preserve">ousehold non-food expenditures </w:t>
      </w:r>
      <w:r w:rsidR="00144CF3" w:rsidRPr="00344830">
        <w:rPr>
          <w:rFonts w:eastAsiaTheme="minorHAnsi"/>
          <w:sz w:val="22"/>
          <w:szCs w:val="22"/>
        </w:rPr>
        <w:t>(Annear, et al, 2015, p.xxiii)</w:t>
      </w:r>
      <w:r w:rsidR="00B75CB9" w:rsidRPr="00344830">
        <w:rPr>
          <w:rFonts w:eastAsiaTheme="minorHAnsi"/>
          <w:sz w:val="22"/>
          <w:szCs w:val="22"/>
        </w:rPr>
        <w:t>.</w:t>
      </w:r>
      <w:r w:rsidR="00144CF3" w:rsidRPr="00344830">
        <w:rPr>
          <w:rFonts w:eastAsiaTheme="minorHAnsi"/>
          <w:sz w:val="22"/>
          <w:szCs w:val="22"/>
        </w:rPr>
        <w:t xml:space="preserve"> </w:t>
      </w:r>
      <w:r w:rsidR="00344830">
        <w:rPr>
          <w:rFonts w:eastAsiaTheme="minorHAnsi"/>
          <w:sz w:val="22"/>
          <w:szCs w:val="22"/>
        </w:rPr>
        <w:t>Secondly, b</w:t>
      </w:r>
      <w:r w:rsidR="00B75CB9" w:rsidRPr="00344830">
        <w:rPr>
          <w:rFonts w:eastAsiaTheme="minorHAnsi"/>
          <w:sz w:val="22"/>
          <w:szCs w:val="22"/>
        </w:rPr>
        <w:t>ecause t</w:t>
      </w:r>
      <w:r w:rsidR="00804370" w:rsidRPr="00344830">
        <w:rPr>
          <w:rFonts w:eastAsiaTheme="minorHAnsi"/>
          <w:sz w:val="22"/>
          <w:szCs w:val="22"/>
        </w:rPr>
        <w:t>he MOH accredits all medical operations and</w:t>
      </w:r>
      <w:r w:rsidR="00B75CB9" w:rsidRPr="00344830">
        <w:rPr>
          <w:rFonts w:eastAsiaTheme="minorHAnsi"/>
          <w:sz w:val="22"/>
          <w:szCs w:val="22"/>
        </w:rPr>
        <w:t xml:space="preserve"> licenses medical practitioners, t</w:t>
      </w:r>
      <w:r w:rsidR="00804370" w:rsidRPr="00344830">
        <w:rPr>
          <w:rFonts w:eastAsiaTheme="minorHAnsi"/>
          <w:sz w:val="22"/>
          <w:szCs w:val="22"/>
        </w:rPr>
        <w:t>he regulation of private for-profit health care p</w:t>
      </w:r>
      <w:r w:rsidR="00344830">
        <w:rPr>
          <w:rFonts w:eastAsiaTheme="minorHAnsi"/>
          <w:sz w:val="22"/>
          <w:szCs w:val="22"/>
        </w:rPr>
        <w:t xml:space="preserve">roviders is a challenge </w:t>
      </w:r>
      <w:r w:rsidR="00B75CB9" w:rsidRPr="00344830">
        <w:rPr>
          <w:rFonts w:eastAsiaTheme="minorHAnsi"/>
          <w:sz w:val="22"/>
          <w:szCs w:val="22"/>
        </w:rPr>
        <w:t>(Annear</w:t>
      </w:r>
      <w:r w:rsidR="00804370" w:rsidRPr="00344830">
        <w:rPr>
          <w:rFonts w:eastAsiaTheme="minorHAnsi"/>
          <w:sz w:val="22"/>
          <w:szCs w:val="22"/>
        </w:rPr>
        <w:t xml:space="preserve">, et al, 2015, </w:t>
      </w:r>
      <w:r w:rsidR="00B75CB9" w:rsidRPr="00344830">
        <w:rPr>
          <w:rFonts w:eastAsiaTheme="minorHAnsi"/>
          <w:sz w:val="22"/>
          <w:szCs w:val="22"/>
        </w:rPr>
        <w:t xml:space="preserve">p.xxii). </w:t>
      </w:r>
      <w:r w:rsidR="00144CF3" w:rsidRPr="00344830">
        <w:rPr>
          <w:rFonts w:eastAsiaTheme="minorHAnsi"/>
          <w:sz w:val="22"/>
          <w:szCs w:val="22"/>
        </w:rPr>
        <w:t>Lastly, g</w:t>
      </w:r>
      <w:r w:rsidR="00804370" w:rsidRPr="00344830">
        <w:rPr>
          <w:rFonts w:eastAsiaTheme="minorHAnsi"/>
          <w:sz w:val="22"/>
          <w:szCs w:val="22"/>
        </w:rPr>
        <w:t>overnment expenditures on health need revised. For example, expenditures on drugs and medical supplies were higher than international average prices, more than 50% of the total health budget is spent on procurement, and 63% on non-p</w:t>
      </w:r>
      <w:r w:rsidR="00F671BA" w:rsidRPr="00344830">
        <w:rPr>
          <w:rFonts w:eastAsiaTheme="minorHAnsi"/>
          <w:sz w:val="22"/>
          <w:szCs w:val="22"/>
        </w:rPr>
        <w:t xml:space="preserve">rogram activities (Annear, </w:t>
      </w:r>
      <w:r w:rsidR="00804370" w:rsidRPr="00344830">
        <w:rPr>
          <w:rFonts w:eastAsiaTheme="minorHAnsi"/>
          <w:sz w:val="22"/>
          <w:szCs w:val="22"/>
        </w:rPr>
        <w:t xml:space="preserve">et al, 2015, </w:t>
      </w:r>
      <w:r w:rsidR="00144CF3" w:rsidRPr="00344830">
        <w:rPr>
          <w:rFonts w:eastAsiaTheme="minorHAnsi"/>
          <w:sz w:val="22"/>
          <w:szCs w:val="22"/>
        </w:rPr>
        <w:t>p.xxiii)</w:t>
      </w:r>
      <w:r w:rsidR="00804370" w:rsidRPr="00344830">
        <w:rPr>
          <w:rFonts w:eastAsiaTheme="minorHAnsi"/>
          <w:sz w:val="22"/>
          <w:szCs w:val="22"/>
        </w:rPr>
        <w:t xml:space="preserve">. </w:t>
      </w:r>
    </w:p>
    <w:p w14:paraId="21873A42" w14:textId="77777777" w:rsidR="00804370" w:rsidRPr="00344830" w:rsidRDefault="00804370" w:rsidP="00144CF3">
      <w:pPr>
        <w:pStyle w:val="NormalWeb"/>
        <w:spacing w:before="0" w:beforeAutospacing="0" w:after="0" w:afterAutospacing="0"/>
        <w:textAlignment w:val="baseline"/>
        <w:rPr>
          <w:rFonts w:eastAsiaTheme="minorHAnsi"/>
          <w:sz w:val="22"/>
          <w:szCs w:val="22"/>
        </w:rPr>
      </w:pPr>
    </w:p>
    <w:p w14:paraId="07E9182C" w14:textId="77777777" w:rsidR="00591B9A" w:rsidRPr="00344830" w:rsidRDefault="00591B9A" w:rsidP="00804370">
      <w:pPr>
        <w:pStyle w:val="NormalWeb"/>
        <w:spacing w:before="0" w:beforeAutospacing="0" w:after="0" w:afterAutospacing="0"/>
        <w:textAlignment w:val="baseline"/>
        <w:rPr>
          <w:rFonts w:eastAsiaTheme="minorHAnsi"/>
          <w:sz w:val="22"/>
          <w:szCs w:val="22"/>
        </w:rPr>
      </w:pPr>
      <w:r w:rsidRPr="00344830">
        <w:rPr>
          <w:b/>
          <w:sz w:val="22"/>
          <w:szCs w:val="22"/>
        </w:rPr>
        <w:t>System Emerging Challenges</w:t>
      </w:r>
    </w:p>
    <w:p w14:paraId="4095C0DC" w14:textId="77777777" w:rsidR="00144CF3" w:rsidRPr="00344830" w:rsidRDefault="00144CF3" w:rsidP="00144CF3">
      <w:pPr>
        <w:pStyle w:val="NormalWeb"/>
        <w:spacing w:before="0" w:beforeAutospacing="0" w:after="0" w:afterAutospacing="0"/>
        <w:textAlignment w:val="baseline"/>
        <w:rPr>
          <w:rFonts w:eastAsiaTheme="minorHAnsi"/>
          <w:sz w:val="22"/>
          <w:szCs w:val="22"/>
        </w:rPr>
      </w:pPr>
    </w:p>
    <w:p w14:paraId="27CBE28E" w14:textId="55C0860A" w:rsidR="0029229C" w:rsidRPr="00344830" w:rsidRDefault="00144CF3" w:rsidP="00144CF3">
      <w:pPr>
        <w:pStyle w:val="NormalWeb"/>
        <w:spacing w:before="0" w:beforeAutospacing="0" w:after="0" w:afterAutospacing="0"/>
        <w:ind w:firstLine="720"/>
        <w:textAlignment w:val="baseline"/>
        <w:rPr>
          <w:rFonts w:eastAsiaTheme="minorHAnsi"/>
          <w:sz w:val="22"/>
          <w:szCs w:val="22"/>
        </w:rPr>
      </w:pPr>
      <w:r w:rsidRPr="00344830">
        <w:rPr>
          <w:rFonts w:eastAsiaTheme="minorHAnsi"/>
          <w:sz w:val="22"/>
          <w:szCs w:val="22"/>
        </w:rPr>
        <w:t xml:space="preserve">Just as there are many areas for improvements, there are also new and emerging challenges. </w:t>
      </w:r>
      <w:r w:rsidR="00804370" w:rsidRPr="00344830">
        <w:rPr>
          <w:rFonts w:eastAsiaTheme="minorHAnsi"/>
          <w:sz w:val="22"/>
          <w:szCs w:val="22"/>
        </w:rPr>
        <w:t>New health challenges such as non-communicable diseases are inc</w:t>
      </w:r>
      <w:r w:rsidRPr="00344830">
        <w:rPr>
          <w:rFonts w:eastAsiaTheme="minorHAnsi"/>
          <w:sz w:val="22"/>
          <w:szCs w:val="22"/>
        </w:rPr>
        <w:t>reasing such as road accidents.</w:t>
      </w:r>
      <w:r w:rsidR="00B14F25">
        <w:rPr>
          <w:rFonts w:eastAsiaTheme="minorHAnsi"/>
          <w:sz w:val="22"/>
          <w:szCs w:val="22"/>
        </w:rPr>
        <w:t xml:space="preserve"> Also,</w:t>
      </w:r>
      <w:r w:rsidRPr="00344830">
        <w:rPr>
          <w:rFonts w:eastAsiaTheme="minorHAnsi"/>
          <w:sz w:val="22"/>
          <w:szCs w:val="22"/>
        </w:rPr>
        <w:t xml:space="preserve"> </w:t>
      </w:r>
      <w:r w:rsidR="00B14F25">
        <w:rPr>
          <w:rFonts w:eastAsiaTheme="minorHAnsi"/>
          <w:sz w:val="22"/>
          <w:szCs w:val="22"/>
        </w:rPr>
        <w:t>t</w:t>
      </w:r>
      <w:r w:rsidR="00804370" w:rsidRPr="00344830">
        <w:rPr>
          <w:rFonts w:eastAsiaTheme="minorHAnsi"/>
          <w:sz w:val="22"/>
          <w:szCs w:val="22"/>
        </w:rPr>
        <w:t>he WHO released a Strategic Plan with about 15 strategic goals; all attempting to strengthen the health c</w:t>
      </w:r>
      <w:r w:rsidRPr="00344830">
        <w:rPr>
          <w:rFonts w:eastAsiaTheme="minorHAnsi"/>
          <w:sz w:val="22"/>
          <w:szCs w:val="22"/>
        </w:rPr>
        <w:t>are delivery system in Cambodia</w:t>
      </w:r>
      <w:r w:rsidR="00804370" w:rsidRPr="00344830">
        <w:rPr>
          <w:rFonts w:eastAsiaTheme="minorHAnsi"/>
          <w:sz w:val="22"/>
          <w:szCs w:val="22"/>
        </w:rPr>
        <w:t xml:space="preserve"> </w:t>
      </w:r>
      <w:r w:rsidRPr="00344830">
        <w:rPr>
          <w:rFonts w:eastAsiaTheme="minorHAnsi"/>
          <w:sz w:val="22"/>
          <w:szCs w:val="22"/>
        </w:rPr>
        <w:t>(</w:t>
      </w:r>
      <w:r w:rsidRPr="00344830">
        <w:rPr>
          <w:sz w:val="22"/>
          <w:szCs w:val="22"/>
        </w:rPr>
        <w:t xml:space="preserve">World Health Organization, </w:t>
      </w:r>
      <w:r w:rsidRPr="00344830">
        <w:rPr>
          <w:rFonts w:eastAsiaTheme="minorHAnsi"/>
          <w:sz w:val="22"/>
          <w:szCs w:val="22"/>
        </w:rPr>
        <w:t>2014</w:t>
      </w:r>
      <w:r w:rsidR="00804370" w:rsidRPr="00344830">
        <w:rPr>
          <w:rFonts w:eastAsiaTheme="minorHAnsi"/>
          <w:sz w:val="22"/>
          <w:szCs w:val="22"/>
        </w:rPr>
        <w:t>, p. 13)</w:t>
      </w:r>
      <w:r w:rsidRPr="00344830">
        <w:rPr>
          <w:rFonts w:eastAsiaTheme="minorHAnsi"/>
          <w:sz w:val="22"/>
          <w:szCs w:val="22"/>
        </w:rPr>
        <w:t xml:space="preserve">. </w:t>
      </w:r>
      <w:r w:rsidR="00804370" w:rsidRPr="00344830">
        <w:rPr>
          <w:rFonts w:eastAsiaTheme="minorHAnsi"/>
          <w:sz w:val="22"/>
          <w:szCs w:val="22"/>
        </w:rPr>
        <w:t xml:space="preserve">Cambodia’s MOH’s goal is to move toward universal health coverage. Reforms in health financing have been the center of efforts to rebuild the country’s health </w:t>
      </w:r>
      <w:r w:rsidRPr="00344830">
        <w:rPr>
          <w:rFonts w:eastAsiaTheme="minorHAnsi"/>
          <w:sz w:val="22"/>
          <w:szCs w:val="22"/>
        </w:rPr>
        <w:t>system</w:t>
      </w:r>
      <w:r w:rsidR="00804370" w:rsidRPr="00344830">
        <w:rPr>
          <w:rFonts w:eastAsiaTheme="minorHAnsi"/>
          <w:sz w:val="22"/>
          <w:szCs w:val="22"/>
        </w:rPr>
        <w:t xml:space="preserve"> (An</w:t>
      </w:r>
      <w:r w:rsidRPr="00344830">
        <w:rPr>
          <w:rFonts w:eastAsiaTheme="minorHAnsi"/>
          <w:sz w:val="22"/>
          <w:szCs w:val="22"/>
        </w:rPr>
        <w:t>ne</w:t>
      </w:r>
      <w:r w:rsidR="00F671BA" w:rsidRPr="00344830">
        <w:rPr>
          <w:rFonts w:eastAsiaTheme="minorHAnsi"/>
          <w:sz w:val="22"/>
          <w:szCs w:val="22"/>
        </w:rPr>
        <w:t>ar,</w:t>
      </w:r>
      <w:r w:rsidRPr="00344830">
        <w:rPr>
          <w:rFonts w:eastAsiaTheme="minorHAnsi"/>
          <w:sz w:val="22"/>
          <w:szCs w:val="22"/>
        </w:rPr>
        <w:t xml:space="preserve"> et al, 2015, p.xxiv). </w:t>
      </w:r>
      <w:r w:rsidR="00B14F25">
        <w:rPr>
          <w:rFonts w:eastAsiaTheme="minorHAnsi"/>
          <w:sz w:val="22"/>
          <w:szCs w:val="22"/>
        </w:rPr>
        <w:t>In addition, ma</w:t>
      </w:r>
      <w:r w:rsidR="00344830" w:rsidRPr="00344830">
        <w:rPr>
          <w:rFonts w:eastAsiaTheme="minorHAnsi"/>
          <w:sz w:val="22"/>
          <w:szCs w:val="22"/>
        </w:rPr>
        <w:t>lnutrition and access to healthcare continue to be the most crucial issues (</w:t>
      </w:r>
      <w:r w:rsidR="00344830" w:rsidRPr="00344830">
        <w:rPr>
          <w:sz w:val="22"/>
          <w:szCs w:val="22"/>
        </w:rPr>
        <w:t>World Health Organization &amp; Ministry of Health, Cambodia, 2012,</w:t>
      </w:r>
      <w:r w:rsidR="00344830" w:rsidRPr="00344830">
        <w:rPr>
          <w:rFonts w:eastAsiaTheme="minorHAnsi"/>
          <w:sz w:val="22"/>
          <w:szCs w:val="22"/>
        </w:rPr>
        <w:t xml:space="preserve"> p. 1). </w:t>
      </w:r>
      <w:r w:rsidR="00B14F25">
        <w:rPr>
          <w:rFonts w:eastAsiaTheme="minorHAnsi"/>
          <w:sz w:val="22"/>
          <w:szCs w:val="22"/>
        </w:rPr>
        <w:t>For example, c</w:t>
      </w:r>
      <w:r w:rsidR="00344830" w:rsidRPr="00344830">
        <w:rPr>
          <w:rFonts w:eastAsiaTheme="minorHAnsi"/>
          <w:sz w:val="22"/>
          <w:szCs w:val="22"/>
        </w:rPr>
        <w:t>hallenges</w:t>
      </w:r>
      <w:r w:rsidR="00B14F25">
        <w:rPr>
          <w:rFonts w:eastAsiaTheme="minorHAnsi"/>
          <w:sz w:val="22"/>
          <w:szCs w:val="22"/>
        </w:rPr>
        <w:t xml:space="preserve"> r</w:t>
      </w:r>
      <w:r w:rsidR="00344830" w:rsidRPr="00344830">
        <w:rPr>
          <w:rFonts w:eastAsiaTheme="minorHAnsi"/>
          <w:sz w:val="22"/>
          <w:szCs w:val="22"/>
        </w:rPr>
        <w:t>emain with low quality of health service and persistent health inequalities (Annear, et al, 2015, p.xix</w:t>
      </w:r>
      <w:r w:rsidR="00344830">
        <w:rPr>
          <w:rFonts w:eastAsiaTheme="minorHAnsi"/>
          <w:sz w:val="22"/>
          <w:szCs w:val="22"/>
        </w:rPr>
        <w:t xml:space="preserve">). </w:t>
      </w:r>
      <w:r w:rsidR="00703C27">
        <w:rPr>
          <w:rFonts w:eastAsiaTheme="minorHAnsi"/>
          <w:sz w:val="22"/>
          <w:szCs w:val="22"/>
        </w:rPr>
        <w:t xml:space="preserve">Lastly, </w:t>
      </w:r>
      <w:r w:rsidR="00344830" w:rsidRPr="00344830">
        <w:rPr>
          <w:rFonts w:eastAsiaTheme="minorHAnsi"/>
          <w:sz w:val="22"/>
          <w:szCs w:val="22"/>
        </w:rPr>
        <w:t>Cambodia is also experiencing workforce issues with the inability to keep up with the population, along with lack of facilities.</w:t>
      </w:r>
    </w:p>
    <w:p w14:paraId="3E20F0E6" w14:textId="3313A5B7" w:rsidR="005E5AB5" w:rsidRPr="00344830" w:rsidRDefault="005E5AB5" w:rsidP="00325BFF">
      <w:pPr>
        <w:rPr>
          <w:rFonts w:ascii="Times New Roman" w:hAnsi="Times New Roman" w:cs="Times New Roman"/>
          <w:b/>
        </w:rPr>
      </w:pPr>
    </w:p>
    <w:p w14:paraId="3605AF7E" w14:textId="77777777" w:rsidR="009F3E5A" w:rsidRDefault="009F3E5A" w:rsidP="00C06CE1">
      <w:pPr>
        <w:jc w:val="center"/>
        <w:rPr>
          <w:rFonts w:ascii="Times New Roman" w:hAnsi="Times New Roman" w:cs="Times New Roman"/>
          <w:b/>
        </w:rPr>
      </w:pPr>
    </w:p>
    <w:p w14:paraId="67B48B09" w14:textId="77777777" w:rsidR="009F3E5A" w:rsidRDefault="009F3E5A" w:rsidP="00C06CE1">
      <w:pPr>
        <w:jc w:val="center"/>
        <w:rPr>
          <w:rFonts w:ascii="Times New Roman" w:hAnsi="Times New Roman" w:cs="Times New Roman"/>
          <w:b/>
        </w:rPr>
      </w:pPr>
    </w:p>
    <w:p w14:paraId="6B51517B" w14:textId="1463E074" w:rsidR="00591B9A" w:rsidRPr="00344830" w:rsidRDefault="00C06CE1" w:rsidP="00C06CE1">
      <w:pPr>
        <w:jc w:val="center"/>
        <w:rPr>
          <w:rFonts w:ascii="Times New Roman" w:hAnsi="Times New Roman" w:cs="Times New Roman"/>
          <w:b/>
        </w:rPr>
      </w:pPr>
      <w:r w:rsidRPr="00344830">
        <w:rPr>
          <w:rFonts w:ascii="Times New Roman" w:hAnsi="Times New Roman" w:cs="Times New Roman"/>
          <w:b/>
        </w:rPr>
        <w:lastRenderedPageBreak/>
        <w:t>References</w:t>
      </w:r>
    </w:p>
    <w:p w14:paraId="3CCA069D" w14:textId="77777777" w:rsidR="00EE3D46" w:rsidRPr="00344830" w:rsidRDefault="00EE3D46" w:rsidP="00EE3D46">
      <w:pPr>
        <w:spacing w:after="0" w:line="480" w:lineRule="auto"/>
        <w:rPr>
          <w:rFonts w:ascii="Times New Roman" w:hAnsi="Times New Roman" w:cs="Times New Roman"/>
          <w:i/>
        </w:rPr>
      </w:pPr>
      <w:r w:rsidRPr="00344830">
        <w:rPr>
          <w:rFonts w:ascii="Times New Roman" w:hAnsi="Times New Roman" w:cs="Times New Roman"/>
        </w:rPr>
        <w:t xml:space="preserve">Annear, P.L, et al. (2015). The kingdom of Cambodia health system review. </w:t>
      </w:r>
      <w:r w:rsidRPr="00344830">
        <w:rPr>
          <w:rFonts w:ascii="Times New Roman" w:hAnsi="Times New Roman" w:cs="Times New Roman"/>
          <w:i/>
        </w:rPr>
        <w:t xml:space="preserve">Health Systems in </w:t>
      </w:r>
    </w:p>
    <w:p w14:paraId="02AA8175" w14:textId="392CC81B" w:rsidR="00EE3D46" w:rsidRPr="00344830" w:rsidRDefault="00EE3D46" w:rsidP="00EE3D46">
      <w:pPr>
        <w:spacing w:after="0" w:line="480" w:lineRule="auto"/>
        <w:ind w:left="720"/>
        <w:rPr>
          <w:rFonts w:ascii="Times New Roman" w:hAnsi="Times New Roman" w:cs="Times New Roman"/>
        </w:rPr>
      </w:pPr>
      <w:r w:rsidRPr="00344830">
        <w:rPr>
          <w:rFonts w:ascii="Times New Roman" w:hAnsi="Times New Roman" w:cs="Times New Roman"/>
          <w:i/>
        </w:rPr>
        <w:t>Transition,</w:t>
      </w:r>
      <w:r w:rsidRPr="00344830">
        <w:rPr>
          <w:rFonts w:ascii="Times New Roman" w:hAnsi="Times New Roman" w:cs="Times New Roman"/>
        </w:rPr>
        <w:t xml:space="preserve"> vol. 5 (2). Asia Pacific Observatory on Health Systems and Policies. Retrieved from: </w:t>
      </w:r>
      <w:r w:rsidR="004A5F8A" w:rsidRPr="00344830">
        <w:rPr>
          <w:rFonts w:ascii="Times New Roman" w:hAnsi="Times New Roman" w:cs="Times New Roman"/>
        </w:rPr>
        <w:t>http://www.wpro.who.int/asia_pacific_observatory/hits/series/cambodia_health_systems_review.pdf</w:t>
      </w:r>
    </w:p>
    <w:p w14:paraId="5EBC3945" w14:textId="77777777" w:rsidR="004A5F8A" w:rsidRPr="00344830" w:rsidRDefault="004A5F8A" w:rsidP="004A5F8A">
      <w:pPr>
        <w:spacing w:after="0" w:line="480" w:lineRule="auto"/>
        <w:rPr>
          <w:rFonts w:ascii="Times New Roman" w:hAnsi="Times New Roman" w:cs="Times New Roman"/>
        </w:rPr>
      </w:pPr>
      <w:r w:rsidRPr="00344830">
        <w:rPr>
          <w:rFonts w:ascii="Times New Roman" w:hAnsi="Times New Roman" w:cs="Times New Roman"/>
        </w:rPr>
        <w:t xml:space="preserve">Lameire, N., Joffe, P., &amp; Wiedmann, M. (1999). Healthcare systems-an international review: an </w:t>
      </w:r>
    </w:p>
    <w:p w14:paraId="37C7FDF6" w14:textId="390CF572" w:rsidR="004A5F8A" w:rsidRPr="00344830" w:rsidRDefault="004A5F8A" w:rsidP="004A5F8A">
      <w:pPr>
        <w:spacing w:after="0" w:line="480" w:lineRule="auto"/>
        <w:ind w:left="720"/>
        <w:rPr>
          <w:rFonts w:ascii="Times New Roman" w:hAnsi="Times New Roman" w:cs="Times New Roman"/>
        </w:rPr>
      </w:pPr>
      <w:r w:rsidRPr="00344830">
        <w:rPr>
          <w:rFonts w:ascii="Times New Roman" w:hAnsi="Times New Roman" w:cs="Times New Roman"/>
        </w:rPr>
        <w:t xml:space="preserve">overview. </w:t>
      </w:r>
      <w:r w:rsidRPr="00344830">
        <w:rPr>
          <w:rFonts w:ascii="Times New Roman" w:hAnsi="Times New Roman" w:cs="Times New Roman"/>
          <w:i/>
        </w:rPr>
        <w:t xml:space="preserve">Nephrology Dialysis Transplant </w:t>
      </w:r>
      <w:r w:rsidRPr="00344830">
        <w:rPr>
          <w:rFonts w:ascii="Times New Roman" w:hAnsi="Times New Roman" w:cs="Times New Roman"/>
        </w:rPr>
        <w:t xml:space="preserve">14 [Suppl 6] 3-9. </w:t>
      </w:r>
      <w:r w:rsidRPr="00344830">
        <w:rPr>
          <w:rFonts w:ascii="Times New Roman" w:hAnsi="Times New Roman" w:cs="Times New Roman"/>
          <w:i/>
        </w:rPr>
        <w:t>Retrieved</w:t>
      </w:r>
      <w:r w:rsidRPr="00344830">
        <w:rPr>
          <w:rFonts w:ascii="Times New Roman" w:hAnsi="Times New Roman" w:cs="Times New Roman"/>
        </w:rPr>
        <w:t xml:space="preserve"> from: </w:t>
      </w:r>
      <w:hyperlink r:id="rId8" w:history="1">
        <w:r w:rsidRPr="00344830">
          <w:rPr>
            <w:rFonts w:ascii="Times New Roman" w:hAnsi="Times New Roman" w:cs="Times New Roman"/>
          </w:rPr>
          <w:t>http://ndt.oxfordjournals.org/content/14/suppl_6/3.full.pdf+html</w:t>
        </w:r>
      </w:hyperlink>
    </w:p>
    <w:p w14:paraId="2195CDA3" w14:textId="77777777" w:rsidR="00C06CE1" w:rsidRPr="00344830" w:rsidRDefault="00C06CE1" w:rsidP="00C06CE1">
      <w:pPr>
        <w:spacing w:after="0" w:line="480" w:lineRule="auto"/>
        <w:rPr>
          <w:rFonts w:ascii="Times New Roman" w:hAnsi="Times New Roman" w:cs="Times New Roman"/>
        </w:rPr>
      </w:pPr>
      <w:r w:rsidRPr="00344830">
        <w:rPr>
          <w:rFonts w:ascii="Times New Roman" w:hAnsi="Times New Roman" w:cs="Times New Roman"/>
        </w:rPr>
        <w:t xml:space="preserve">The Commonwealth Fund. (2015, January).  2014 International profiles of health care systems. </w:t>
      </w:r>
    </w:p>
    <w:p w14:paraId="27445BEE" w14:textId="2F514BCB" w:rsidR="00C06CE1" w:rsidRPr="00344830" w:rsidRDefault="00C06CE1" w:rsidP="00C06CE1">
      <w:pPr>
        <w:spacing w:after="0" w:line="480" w:lineRule="auto"/>
        <w:ind w:left="720"/>
        <w:rPr>
          <w:rFonts w:ascii="Times New Roman" w:hAnsi="Times New Roman" w:cs="Times New Roman"/>
        </w:rPr>
      </w:pPr>
      <w:r w:rsidRPr="00344830">
        <w:rPr>
          <w:rFonts w:ascii="Times New Roman" w:hAnsi="Times New Roman" w:cs="Times New Roman"/>
        </w:rPr>
        <w:t>Commonwealth Fund pub. No. 1802. Retrieved from: http://www.commonwealthfund.org/~/media/files/publications/fund-report/2015/jan/1802_mossialos_intl_profiles_2014_v7.pdf?la=en</w:t>
      </w:r>
    </w:p>
    <w:p w14:paraId="56F1821E" w14:textId="77777777" w:rsidR="004A5F8A" w:rsidRPr="00344830" w:rsidRDefault="004A5F8A" w:rsidP="004A5F8A">
      <w:pPr>
        <w:spacing w:after="0" w:line="480" w:lineRule="auto"/>
        <w:rPr>
          <w:rFonts w:ascii="Times New Roman" w:hAnsi="Times New Roman" w:cs="Times New Roman"/>
        </w:rPr>
      </w:pPr>
      <w:r w:rsidRPr="00344830">
        <w:rPr>
          <w:rFonts w:ascii="Times New Roman" w:hAnsi="Times New Roman" w:cs="Times New Roman"/>
        </w:rPr>
        <w:t xml:space="preserve">World Health Organizations. (2014, April). Country cooperation strategy at a glance-Cambodia. </w:t>
      </w:r>
    </w:p>
    <w:p w14:paraId="03FA6B4C" w14:textId="518B74D3" w:rsidR="004A5F8A" w:rsidRPr="00344830" w:rsidRDefault="004A5F8A" w:rsidP="004A5F8A">
      <w:pPr>
        <w:spacing w:after="0" w:line="480" w:lineRule="auto"/>
        <w:ind w:firstLine="720"/>
        <w:rPr>
          <w:rFonts w:ascii="Times New Roman" w:hAnsi="Times New Roman" w:cs="Times New Roman"/>
        </w:rPr>
      </w:pPr>
      <w:r w:rsidRPr="00344830">
        <w:rPr>
          <w:rFonts w:ascii="Times New Roman" w:hAnsi="Times New Roman" w:cs="Times New Roman"/>
        </w:rPr>
        <w:t>Retrieved from:</w:t>
      </w:r>
      <w:r w:rsidRPr="00344830">
        <w:rPr>
          <w:rFonts w:ascii="Times New Roman" w:hAnsi="Times New Roman" w:cs="Times New Roman"/>
        </w:rPr>
        <w:tab/>
        <w:t>http://www.who.int/countryfocus/cooperation_strategy/ccsbrief_khm_09_en.pdf</w:t>
      </w:r>
    </w:p>
    <w:p w14:paraId="6985F419" w14:textId="77777777" w:rsidR="00633FB0" w:rsidRPr="00344830" w:rsidRDefault="00633FB0" w:rsidP="00633FB0">
      <w:pPr>
        <w:spacing w:after="0" w:line="480" w:lineRule="auto"/>
        <w:rPr>
          <w:rFonts w:ascii="Times New Roman" w:hAnsi="Times New Roman" w:cs="Times New Roman"/>
        </w:rPr>
      </w:pPr>
      <w:r w:rsidRPr="00344830">
        <w:rPr>
          <w:rFonts w:ascii="Times New Roman" w:hAnsi="Times New Roman" w:cs="Times New Roman"/>
        </w:rPr>
        <w:t xml:space="preserve">World Health Organization &amp; Ministry of Health, Cambodia. (2012). Health service delivery </w:t>
      </w:r>
    </w:p>
    <w:p w14:paraId="119EF3F4" w14:textId="4834CC52" w:rsidR="00633FB0" w:rsidRPr="00344830" w:rsidRDefault="00633FB0" w:rsidP="00633FB0">
      <w:pPr>
        <w:spacing w:after="0" w:line="480" w:lineRule="auto"/>
        <w:ind w:left="720"/>
        <w:rPr>
          <w:rFonts w:ascii="Times New Roman" w:hAnsi="Times New Roman" w:cs="Times New Roman"/>
        </w:rPr>
      </w:pPr>
      <w:r w:rsidRPr="00344830">
        <w:rPr>
          <w:rFonts w:ascii="Times New Roman" w:hAnsi="Times New Roman" w:cs="Times New Roman"/>
        </w:rPr>
        <w:t>profile Cambodia 2012. Retrieved from: http://www.wpro.who.int/health_services/service_delivery_profile_cambodia.pdf</w:t>
      </w:r>
    </w:p>
    <w:p w14:paraId="079FB15D" w14:textId="351EAC7E" w:rsidR="00C06CE1" w:rsidRPr="00344830" w:rsidRDefault="00C06CE1" w:rsidP="00C06CE1">
      <w:pPr>
        <w:spacing w:line="240" w:lineRule="auto"/>
        <w:rPr>
          <w:rFonts w:ascii="Times New Roman" w:hAnsi="Times New Roman" w:cs="Times New Roman"/>
        </w:rPr>
      </w:pPr>
    </w:p>
    <w:sectPr w:rsidR="00C06CE1" w:rsidRPr="00344830">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EEA3ED" w14:textId="77777777" w:rsidR="007C1FF8" w:rsidRDefault="007C1FF8" w:rsidP="000B67A6">
      <w:pPr>
        <w:spacing w:after="0" w:line="240" w:lineRule="auto"/>
      </w:pPr>
      <w:r>
        <w:separator/>
      </w:r>
    </w:p>
  </w:endnote>
  <w:endnote w:type="continuationSeparator" w:id="0">
    <w:p w14:paraId="74EFFEC7" w14:textId="77777777" w:rsidR="007C1FF8" w:rsidRDefault="007C1FF8" w:rsidP="000B67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C95B12" w14:textId="77777777" w:rsidR="007C1FF8" w:rsidRDefault="007C1FF8" w:rsidP="000B67A6">
      <w:pPr>
        <w:spacing w:after="0" w:line="240" w:lineRule="auto"/>
      </w:pPr>
      <w:r>
        <w:separator/>
      </w:r>
    </w:p>
  </w:footnote>
  <w:footnote w:type="continuationSeparator" w:id="0">
    <w:p w14:paraId="3DAEADFE" w14:textId="77777777" w:rsidR="007C1FF8" w:rsidRDefault="007C1FF8" w:rsidP="000B67A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963657809"/>
      <w:docPartObj>
        <w:docPartGallery w:val="Page Numbers (Top of Page)"/>
        <w:docPartUnique/>
      </w:docPartObj>
    </w:sdtPr>
    <w:sdtEndPr>
      <w:rPr>
        <w:noProof/>
      </w:rPr>
    </w:sdtEndPr>
    <w:sdtContent>
      <w:p w14:paraId="2055F4E8" w14:textId="77777777" w:rsidR="006D3753" w:rsidRPr="000B67A6" w:rsidRDefault="006D3753">
        <w:pPr>
          <w:pStyle w:val="Header"/>
          <w:jc w:val="right"/>
          <w:rPr>
            <w:rFonts w:ascii="Times New Roman" w:hAnsi="Times New Roman" w:cs="Times New Roman"/>
            <w:sz w:val="24"/>
            <w:szCs w:val="24"/>
          </w:rPr>
        </w:pPr>
        <w:r w:rsidRPr="000B67A6">
          <w:rPr>
            <w:rFonts w:ascii="Times New Roman" w:hAnsi="Times New Roman" w:cs="Times New Roman"/>
            <w:sz w:val="24"/>
            <w:szCs w:val="24"/>
          </w:rPr>
          <w:t xml:space="preserve"> Healthcare System Synopsis of </w:t>
        </w:r>
        <w:r>
          <w:rPr>
            <w:rFonts w:ascii="Times New Roman" w:hAnsi="Times New Roman" w:cs="Times New Roman"/>
            <w:sz w:val="24"/>
            <w:szCs w:val="24"/>
          </w:rPr>
          <w:t>t</w:t>
        </w:r>
        <w:r w:rsidRPr="000B67A6">
          <w:rPr>
            <w:rFonts w:ascii="Times New Roman" w:hAnsi="Times New Roman" w:cs="Times New Roman"/>
            <w:sz w:val="24"/>
            <w:szCs w:val="24"/>
          </w:rPr>
          <w:t>he Netherlands, Norway, and Cambodia</w:t>
        </w:r>
        <w:r w:rsidRPr="000B67A6">
          <w:rPr>
            <w:rFonts w:ascii="Times New Roman" w:hAnsi="Times New Roman" w:cs="Times New Roman"/>
            <w:sz w:val="24"/>
            <w:szCs w:val="24"/>
          </w:rPr>
          <w:tab/>
        </w:r>
        <w:r w:rsidRPr="000B67A6">
          <w:rPr>
            <w:rFonts w:ascii="Times New Roman" w:hAnsi="Times New Roman" w:cs="Times New Roman"/>
            <w:sz w:val="24"/>
            <w:szCs w:val="24"/>
          </w:rPr>
          <w:fldChar w:fldCharType="begin"/>
        </w:r>
        <w:r w:rsidRPr="000B67A6">
          <w:rPr>
            <w:rFonts w:ascii="Times New Roman" w:hAnsi="Times New Roman" w:cs="Times New Roman"/>
            <w:sz w:val="24"/>
            <w:szCs w:val="24"/>
          </w:rPr>
          <w:instrText xml:space="preserve"> PAGE   \* MERGEFORMAT </w:instrText>
        </w:r>
        <w:r w:rsidRPr="000B67A6">
          <w:rPr>
            <w:rFonts w:ascii="Times New Roman" w:hAnsi="Times New Roman" w:cs="Times New Roman"/>
            <w:sz w:val="24"/>
            <w:szCs w:val="24"/>
          </w:rPr>
          <w:fldChar w:fldCharType="separate"/>
        </w:r>
        <w:r w:rsidR="004552FF">
          <w:rPr>
            <w:rFonts w:ascii="Times New Roman" w:hAnsi="Times New Roman" w:cs="Times New Roman"/>
            <w:noProof/>
            <w:sz w:val="24"/>
            <w:szCs w:val="24"/>
          </w:rPr>
          <w:t>1</w:t>
        </w:r>
        <w:r w:rsidRPr="000B67A6">
          <w:rPr>
            <w:rFonts w:ascii="Times New Roman" w:hAnsi="Times New Roman" w:cs="Times New Roman"/>
            <w:noProof/>
            <w:sz w:val="24"/>
            <w:szCs w:val="24"/>
          </w:rPr>
          <w:fldChar w:fldCharType="end"/>
        </w:r>
      </w:p>
    </w:sdtContent>
  </w:sdt>
  <w:p w14:paraId="1CA13922" w14:textId="77777777" w:rsidR="006D3753" w:rsidRPr="000B67A6" w:rsidRDefault="006D3753">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53A04"/>
    <w:multiLevelType w:val="multilevel"/>
    <w:tmpl w:val="E47AACE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46A07F7"/>
    <w:multiLevelType w:val="multilevel"/>
    <w:tmpl w:val="A3B4C67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55D49E8"/>
    <w:multiLevelType w:val="multilevel"/>
    <w:tmpl w:val="1020DEA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9B40D3B"/>
    <w:multiLevelType w:val="multilevel"/>
    <w:tmpl w:val="64A68A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7560A0E"/>
    <w:multiLevelType w:val="multilevel"/>
    <w:tmpl w:val="C49E8FE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F2D6B45"/>
    <w:multiLevelType w:val="multilevel"/>
    <w:tmpl w:val="EBBAE71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4180421"/>
    <w:multiLevelType w:val="multilevel"/>
    <w:tmpl w:val="0ECAAC6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43435D0"/>
    <w:multiLevelType w:val="multilevel"/>
    <w:tmpl w:val="72D839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6B3085D"/>
    <w:multiLevelType w:val="multilevel"/>
    <w:tmpl w:val="11566E5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E775FA1"/>
    <w:multiLevelType w:val="multilevel"/>
    <w:tmpl w:val="DDFEF4F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738426B"/>
    <w:multiLevelType w:val="multilevel"/>
    <w:tmpl w:val="8B46A7C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B5D5999"/>
    <w:multiLevelType w:val="multilevel"/>
    <w:tmpl w:val="2EA0272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FC54095"/>
    <w:multiLevelType w:val="multilevel"/>
    <w:tmpl w:val="C1BA759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64F42A3"/>
    <w:multiLevelType w:val="multilevel"/>
    <w:tmpl w:val="2F9E3D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9356771"/>
    <w:multiLevelType w:val="multilevel"/>
    <w:tmpl w:val="6E088B5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A910B71"/>
    <w:multiLevelType w:val="multilevel"/>
    <w:tmpl w:val="1C2AC54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C68132C"/>
    <w:multiLevelType w:val="multilevel"/>
    <w:tmpl w:val="80A6CF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2DE702B"/>
    <w:multiLevelType w:val="multilevel"/>
    <w:tmpl w:val="C04A499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A376E42"/>
    <w:multiLevelType w:val="multilevel"/>
    <w:tmpl w:val="65B6764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2"/>
    <w:lvlOverride w:ilvl="4">
      <w:lvl w:ilvl="4">
        <w:numFmt w:val="lowerLetter"/>
        <w:lvlText w:val="%5."/>
        <w:lvlJc w:val="left"/>
      </w:lvl>
    </w:lvlOverride>
  </w:num>
  <w:num w:numId="3">
    <w:abstractNumId w:val="2"/>
    <w:lvlOverride w:ilvl="4">
      <w:lvl w:ilvl="4">
        <w:numFmt w:val="lowerLetter"/>
        <w:lvlText w:val="%5."/>
        <w:lvlJc w:val="left"/>
      </w:lvl>
    </w:lvlOverride>
  </w:num>
  <w:num w:numId="4">
    <w:abstractNumId w:val="18"/>
    <w:lvlOverride w:ilvl="4">
      <w:lvl w:ilvl="4">
        <w:numFmt w:val="lowerLetter"/>
        <w:lvlText w:val="%5."/>
        <w:lvlJc w:val="left"/>
      </w:lvl>
    </w:lvlOverride>
  </w:num>
  <w:num w:numId="5">
    <w:abstractNumId w:val="18"/>
    <w:lvlOverride w:ilvl="4">
      <w:lvl w:ilvl="4">
        <w:numFmt w:val="lowerLetter"/>
        <w:lvlText w:val="%5."/>
        <w:lvlJc w:val="left"/>
      </w:lvl>
    </w:lvlOverride>
    <w:lvlOverride w:ilvl="5">
      <w:lvl w:ilvl="5">
        <w:numFmt w:val="lowerRoman"/>
        <w:lvlText w:val="%6."/>
        <w:lvlJc w:val="right"/>
      </w:lvl>
    </w:lvlOverride>
  </w:num>
  <w:num w:numId="6">
    <w:abstractNumId w:val="18"/>
    <w:lvlOverride w:ilvl="4">
      <w:lvl w:ilvl="4">
        <w:numFmt w:val="lowerLetter"/>
        <w:lvlText w:val="%5."/>
        <w:lvlJc w:val="left"/>
      </w:lvl>
    </w:lvlOverride>
    <w:lvlOverride w:ilvl="5">
      <w:lvl w:ilvl="5">
        <w:numFmt w:val="lowerRoman"/>
        <w:lvlText w:val="%6."/>
        <w:lvlJc w:val="right"/>
      </w:lvl>
    </w:lvlOverride>
  </w:num>
  <w:num w:numId="7">
    <w:abstractNumId w:val="18"/>
    <w:lvlOverride w:ilvl="4">
      <w:lvl w:ilvl="4">
        <w:numFmt w:val="lowerLetter"/>
        <w:lvlText w:val="%5."/>
        <w:lvlJc w:val="left"/>
      </w:lvl>
    </w:lvlOverride>
    <w:lvlOverride w:ilvl="5">
      <w:lvl w:ilvl="5">
        <w:numFmt w:val="lowerRoman"/>
        <w:lvlText w:val="%6."/>
        <w:lvlJc w:val="right"/>
      </w:lvl>
    </w:lvlOverride>
  </w:num>
  <w:num w:numId="8">
    <w:abstractNumId w:val="10"/>
  </w:num>
  <w:num w:numId="9">
    <w:abstractNumId w:val="10"/>
    <w:lvlOverride w:ilvl="4">
      <w:lvl w:ilvl="4">
        <w:numFmt w:val="lowerLetter"/>
        <w:lvlText w:val="%5."/>
        <w:lvlJc w:val="left"/>
      </w:lvl>
    </w:lvlOverride>
  </w:num>
  <w:num w:numId="10">
    <w:abstractNumId w:val="14"/>
  </w:num>
  <w:num w:numId="11">
    <w:abstractNumId w:val="11"/>
  </w:num>
  <w:num w:numId="12">
    <w:abstractNumId w:val="16"/>
  </w:num>
  <w:num w:numId="13">
    <w:abstractNumId w:val="16"/>
    <w:lvlOverride w:ilvl="4">
      <w:lvl w:ilvl="4">
        <w:numFmt w:val="lowerLetter"/>
        <w:lvlText w:val="%5."/>
        <w:lvlJc w:val="left"/>
      </w:lvl>
    </w:lvlOverride>
  </w:num>
  <w:num w:numId="14">
    <w:abstractNumId w:val="16"/>
    <w:lvlOverride w:ilvl="4">
      <w:lvl w:ilvl="4">
        <w:numFmt w:val="lowerLetter"/>
        <w:lvlText w:val="%5."/>
        <w:lvlJc w:val="left"/>
      </w:lvl>
    </w:lvlOverride>
  </w:num>
  <w:num w:numId="15">
    <w:abstractNumId w:val="6"/>
  </w:num>
  <w:num w:numId="16">
    <w:abstractNumId w:val="6"/>
    <w:lvlOverride w:ilvl="4">
      <w:lvl w:ilvl="4">
        <w:numFmt w:val="lowerLetter"/>
        <w:lvlText w:val="%5."/>
        <w:lvlJc w:val="left"/>
      </w:lvl>
    </w:lvlOverride>
  </w:num>
  <w:num w:numId="17">
    <w:abstractNumId w:val="6"/>
    <w:lvlOverride w:ilvl="4">
      <w:lvl w:ilvl="4">
        <w:numFmt w:val="lowerLetter"/>
        <w:lvlText w:val="%5."/>
        <w:lvlJc w:val="left"/>
      </w:lvl>
    </w:lvlOverride>
    <w:lvlOverride w:ilvl="5">
      <w:lvl w:ilvl="5">
        <w:numFmt w:val="lowerRoman"/>
        <w:lvlText w:val="%6."/>
        <w:lvlJc w:val="right"/>
      </w:lvl>
    </w:lvlOverride>
  </w:num>
  <w:num w:numId="18">
    <w:abstractNumId w:val="6"/>
    <w:lvlOverride w:ilvl="4">
      <w:lvl w:ilvl="4">
        <w:numFmt w:val="lowerLetter"/>
        <w:lvlText w:val="%5."/>
        <w:lvlJc w:val="left"/>
      </w:lvl>
    </w:lvlOverride>
    <w:lvlOverride w:ilvl="5">
      <w:lvl w:ilvl="5">
        <w:numFmt w:val="lowerRoman"/>
        <w:lvlText w:val="%6."/>
        <w:lvlJc w:val="right"/>
      </w:lvl>
    </w:lvlOverride>
  </w:num>
  <w:num w:numId="19">
    <w:abstractNumId w:val="6"/>
    <w:lvlOverride w:ilvl="4">
      <w:lvl w:ilvl="4">
        <w:numFmt w:val="lowerLetter"/>
        <w:lvlText w:val="%5."/>
        <w:lvlJc w:val="left"/>
      </w:lvl>
    </w:lvlOverride>
    <w:lvlOverride w:ilvl="5">
      <w:lvl w:ilvl="5">
        <w:numFmt w:val="lowerRoman"/>
        <w:lvlText w:val="%6."/>
        <w:lvlJc w:val="right"/>
      </w:lvl>
    </w:lvlOverride>
  </w:num>
  <w:num w:numId="20">
    <w:abstractNumId w:val="6"/>
    <w:lvlOverride w:ilvl="4">
      <w:lvl w:ilvl="4">
        <w:numFmt w:val="lowerLetter"/>
        <w:lvlText w:val="%5."/>
        <w:lvlJc w:val="left"/>
      </w:lvl>
    </w:lvlOverride>
    <w:lvlOverride w:ilvl="5">
      <w:lvl w:ilvl="5">
        <w:numFmt w:val="lowerRoman"/>
        <w:lvlText w:val="%6."/>
        <w:lvlJc w:val="right"/>
      </w:lvl>
    </w:lvlOverride>
  </w:num>
  <w:num w:numId="21">
    <w:abstractNumId w:val="0"/>
  </w:num>
  <w:num w:numId="22">
    <w:abstractNumId w:val="0"/>
    <w:lvlOverride w:ilvl="4">
      <w:lvl w:ilvl="4">
        <w:numFmt w:val="lowerLetter"/>
        <w:lvlText w:val="%5."/>
        <w:lvlJc w:val="left"/>
      </w:lvl>
    </w:lvlOverride>
  </w:num>
  <w:num w:numId="23">
    <w:abstractNumId w:val="1"/>
  </w:num>
  <w:num w:numId="24">
    <w:abstractNumId w:val="1"/>
    <w:lvlOverride w:ilvl="4">
      <w:lvl w:ilvl="4">
        <w:numFmt w:val="lowerLetter"/>
        <w:lvlText w:val="%5."/>
        <w:lvlJc w:val="left"/>
      </w:lvl>
    </w:lvlOverride>
  </w:num>
  <w:num w:numId="25">
    <w:abstractNumId w:val="1"/>
    <w:lvlOverride w:ilvl="4">
      <w:lvl w:ilvl="4">
        <w:numFmt w:val="lowerLetter"/>
        <w:lvlText w:val="%5."/>
        <w:lvlJc w:val="left"/>
      </w:lvl>
    </w:lvlOverride>
    <w:lvlOverride w:ilvl="5">
      <w:lvl w:ilvl="5">
        <w:numFmt w:val="lowerRoman"/>
        <w:lvlText w:val="%6."/>
        <w:lvlJc w:val="right"/>
      </w:lvl>
    </w:lvlOverride>
  </w:num>
  <w:num w:numId="26">
    <w:abstractNumId w:val="1"/>
    <w:lvlOverride w:ilvl="4">
      <w:lvl w:ilvl="4">
        <w:numFmt w:val="lowerLetter"/>
        <w:lvlText w:val="%5."/>
        <w:lvlJc w:val="left"/>
      </w:lvl>
    </w:lvlOverride>
    <w:lvlOverride w:ilvl="5">
      <w:lvl w:ilvl="5">
        <w:numFmt w:val="lowerRoman"/>
        <w:lvlText w:val="%6."/>
        <w:lvlJc w:val="right"/>
      </w:lvl>
    </w:lvlOverride>
  </w:num>
  <w:num w:numId="27">
    <w:abstractNumId w:val="1"/>
    <w:lvlOverride w:ilvl="4">
      <w:lvl w:ilvl="4">
        <w:numFmt w:val="lowerLetter"/>
        <w:lvlText w:val="%5."/>
        <w:lvlJc w:val="left"/>
      </w:lvl>
    </w:lvlOverride>
    <w:lvlOverride w:ilvl="5">
      <w:lvl w:ilvl="5">
        <w:numFmt w:val="lowerRoman"/>
        <w:lvlText w:val="%6."/>
        <w:lvlJc w:val="right"/>
      </w:lvl>
    </w:lvlOverride>
  </w:num>
  <w:num w:numId="28">
    <w:abstractNumId w:val="9"/>
  </w:num>
  <w:num w:numId="29">
    <w:abstractNumId w:val="9"/>
    <w:lvlOverride w:ilvl="4">
      <w:lvl w:ilvl="4">
        <w:numFmt w:val="lowerLetter"/>
        <w:lvlText w:val="%5."/>
        <w:lvlJc w:val="left"/>
      </w:lvl>
    </w:lvlOverride>
  </w:num>
  <w:num w:numId="30">
    <w:abstractNumId w:val="9"/>
    <w:lvlOverride w:ilvl="4">
      <w:lvl w:ilvl="4">
        <w:numFmt w:val="lowerLetter"/>
        <w:lvlText w:val="%5."/>
        <w:lvlJc w:val="left"/>
      </w:lvl>
    </w:lvlOverride>
  </w:num>
  <w:num w:numId="31">
    <w:abstractNumId w:val="9"/>
    <w:lvlOverride w:ilvl="4">
      <w:lvl w:ilvl="4">
        <w:numFmt w:val="lowerLetter"/>
        <w:lvlText w:val="%5."/>
        <w:lvlJc w:val="left"/>
      </w:lvl>
    </w:lvlOverride>
  </w:num>
  <w:num w:numId="32">
    <w:abstractNumId w:val="8"/>
  </w:num>
  <w:num w:numId="33">
    <w:abstractNumId w:val="8"/>
    <w:lvlOverride w:ilvl="4">
      <w:lvl w:ilvl="4">
        <w:numFmt w:val="lowerLetter"/>
        <w:lvlText w:val="%5."/>
        <w:lvlJc w:val="left"/>
      </w:lvl>
    </w:lvlOverride>
  </w:num>
  <w:num w:numId="34">
    <w:abstractNumId w:val="7"/>
  </w:num>
  <w:num w:numId="35">
    <w:abstractNumId w:val="7"/>
    <w:lvlOverride w:ilvl="4">
      <w:lvl w:ilvl="4">
        <w:numFmt w:val="lowerLetter"/>
        <w:lvlText w:val="%5."/>
        <w:lvlJc w:val="left"/>
      </w:lvl>
    </w:lvlOverride>
  </w:num>
  <w:num w:numId="36">
    <w:abstractNumId w:val="15"/>
  </w:num>
  <w:num w:numId="37">
    <w:abstractNumId w:val="15"/>
    <w:lvlOverride w:ilvl="4">
      <w:lvl w:ilvl="4">
        <w:numFmt w:val="lowerLetter"/>
        <w:lvlText w:val="%5."/>
        <w:lvlJc w:val="left"/>
      </w:lvl>
    </w:lvlOverride>
  </w:num>
  <w:num w:numId="38">
    <w:abstractNumId w:val="5"/>
  </w:num>
  <w:num w:numId="39">
    <w:abstractNumId w:val="5"/>
    <w:lvlOverride w:ilvl="4">
      <w:lvl w:ilvl="4">
        <w:numFmt w:val="lowerLetter"/>
        <w:lvlText w:val="%5."/>
        <w:lvlJc w:val="left"/>
      </w:lvl>
    </w:lvlOverride>
  </w:num>
  <w:num w:numId="40">
    <w:abstractNumId w:val="12"/>
  </w:num>
  <w:num w:numId="41">
    <w:abstractNumId w:val="12"/>
    <w:lvlOverride w:ilvl="4">
      <w:lvl w:ilvl="4">
        <w:numFmt w:val="lowerLetter"/>
        <w:lvlText w:val="%5."/>
        <w:lvlJc w:val="left"/>
      </w:lvl>
    </w:lvlOverride>
  </w:num>
  <w:num w:numId="42">
    <w:abstractNumId w:val="13"/>
  </w:num>
  <w:num w:numId="43">
    <w:abstractNumId w:val="13"/>
    <w:lvlOverride w:ilvl="4">
      <w:lvl w:ilvl="4">
        <w:numFmt w:val="lowerLetter"/>
        <w:lvlText w:val="%5."/>
        <w:lvlJc w:val="left"/>
      </w:lvl>
    </w:lvlOverride>
  </w:num>
  <w:num w:numId="44">
    <w:abstractNumId w:val="13"/>
    <w:lvlOverride w:ilvl="4">
      <w:lvl w:ilvl="4">
        <w:numFmt w:val="lowerLetter"/>
        <w:lvlText w:val="%5."/>
        <w:lvlJc w:val="left"/>
      </w:lvl>
    </w:lvlOverride>
    <w:lvlOverride w:ilvl="5">
      <w:lvl w:ilvl="5">
        <w:numFmt w:val="lowerRoman"/>
        <w:lvlText w:val="%6."/>
        <w:lvlJc w:val="right"/>
      </w:lvl>
    </w:lvlOverride>
  </w:num>
  <w:num w:numId="45">
    <w:abstractNumId w:val="17"/>
  </w:num>
  <w:num w:numId="46">
    <w:abstractNumId w:val="4"/>
  </w:num>
  <w:num w:numId="47">
    <w:abstractNumId w:val="4"/>
    <w:lvlOverride w:ilvl="4">
      <w:lvl w:ilvl="4">
        <w:numFmt w:val="lowerLetter"/>
        <w:lvlText w:val="%5."/>
        <w:lvlJc w:val="left"/>
      </w:lvl>
    </w:lvlOverride>
  </w:num>
  <w:num w:numId="48">
    <w:abstractNumId w:val="3"/>
  </w:num>
  <w:num w:numId="49">
    <w:abstractNumId w:val="3"/>
    <w:lvlOverride w:ilvl="4">
      <w:lvl w:ilvl="4">
        <w:numFmt w:val="lowerLetter"/>
        <w:lvlText w:val="%5."/>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67A6"/>
    <w:rsid w:val="0000016C"/>
    <w:rsid w:val="00027232"/>
    <w:rsid w:val="000B67A6"/>
    <w:rsid w:val="000C3BA7"/>
    <w:rsid w:val="000C689D"/>
    <w:rsid w:val="0013547C"/>
    <w:rsid w:val="00144CF3"/>
    <w:rsid w:val="001D1838"/>
    <w:rsid w:val="002067A0"/>
    <w:rsid w:val="0029229C"/>
    <w:rsid w:val="002E27CF"/>
    <w:rsid w:val="00306159"/>
    <w:rsid w:val="00311EB7"/>
    <w:rsid w:val="00325BFF"/>
    <w:rsid w:val="00344830"/>
    <w:rsid w:val="00380575"/>
    <w:rsid w:val="00402BB8"/>
    <w:rsid w:val="004552FF"/>
    <w:rsid w:val="0049035D"/>
    <w:rsid w:val="004A5F8A"/>
    <w:rsid w:val="004D4EC1"/>
    <w:rsid w:val="004F69BC"/>
    <w:rsid w:val="00561D32"/>
    <w:rsid w:val="00585166"/>
    <w:rsid w:val="00591B9A"/>
    <w:rsid w:val="005E5AB5"/>
    <w:rsid w:val="005F7F20"/>
    <w:rsid w:val="00633FB0"/>
    <w:rsid w:val="00680EBB"/>
    <w:rsid w:val="006D3753"/>
    <w:rsid w:val="00703C27"/>
    <w:rsid w:val="00734973"/>
    <w:rsid w:val="00775CBD"/>
    <w:rsid w:val="007C1FF8"/>
    <w:rsid w:val="00804370"/>
    <w:rsid w:val="00806961"/>
    <w:rsid w:val="008C396F"/>
    <w:rsid w:val="008F6D92"/>
    <w:rsid w:val="009853C1"/>
    <w:rsid w:val="009F3E5A"/>
    <w:rsid w:val="00A264D5"/>
    <w:rsid w:val="00A658B4"/>
    <w:rsid w:val="00A71429"/>
    <w:rsid w:val="00A71ABC"/>
    <w:rsid w:val="00AC6F53"/>
    <w:rsid w:val="00B14F25"/>
    <w:rsid w:val="00B75CB9"/>
    <w:rsid w:val="00BF3D2A"/>
    <w:rsid w:val="00C06CE1"/>
    <w:rsid w:val="00C10DDB"/>
    <w:rsid w:val="00C47BCA"/>
    <w:rsid w:val="00C735A3"/>
    <w:rsid w:val="00CE6FCD"/>
    <w:rsid w:val="00D13661"/>
    <w:rsid w:val="00DD10C6"/>
    <w:rsid w:val="00E17776"/>
    <w:rsid w:val="00EC037C"/>
    <w:rsid w:val="00EE3D46"/>
    <w:rsid w:val="00EF0005"/>
    <w:rsid w:val="00EF5A17"/>
    <w:rsid w:val="00F66999"/>
    <w:rsid w:val="00F671BA"/>
    <w:rsid w:val="00F77E18"/>
    <w:rsid w:val="00F9419C"/>
    <w:rsid w:val="00FC52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3A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67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67A6"/>
  </w:style>
  <w:style w:type="paragraph" w:styleId="Footer">
    <w:name w:val="footer"/>
    <w:basedOn w:val="Normal"/>
    <w:link w:val="FooterChar"/>
    <w:uiPriority w:val="99"/>
    <w:unhideWhenUsed/>
    <w:rsid w:val="000B67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67A6"/>
  </w:style>
  <w:style w:type="character" w:styleId="Hyperlink">
    <w:name w:val="Hyperlink"/>
    <w:basedOn w:val="DefaultParagraphFont"/>
    <w:uiPriority w:val="99"/>
    <w:unhideWhenUsed/>
    <w:rsid w:val="00C06CE1"/>
    <w:rPr>
      <w:color w:val="0563C1" w:themeColor="hyperlink"/>
      <w:u w:val="single"/>
    </w:rPr>
  </w:style>
  <w:style w:type="paragraph" w:styleId="NormalWeb">
    <w:name w:val="Normal (Web)"/>
    <w:basedOn w:val="Normal"/>
    <w:uiPriority w:val="99"/>
    <w:unhideWhenUsed/>
    <w:rsid w:val="00C47BCA"/>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67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67A6"/>
  </w:style>
  <w:style w:type="paragraph" w:styleId="Footer">
    <w:name w:val="footer"/>
    <w:basedOn w:val="Normal"/>
    <w:link w:val="FooterChar"/>
    <w:uiPriority w:val="99"/>
    <w:unhideWhenUsed/>
    <w:rsid w:val="000B67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67A6"/>
  </w:style>
  <w:style w:type="character" w:styleId="Hyperlink">
    <w:name w:val="Hyperlink"/>
    <w:basedOn w:val="DefaultParagraphFont"/>
    <w:uiPriority w:val="99"/>
    <w:unhideWhenUsed/>
    <w:rsid w:val="00C06CE1"/>
    <w:rPr>
      <w:color w:val="0563C1" w:themeColor="hyperlink"/>
      <w:u w:val="single"/>
    </w:rPr>
  </w:style>
  <w:style w:type="paragraph" w:styleId="NormalWeb">
    <w:name w:val="Normal (Web)"/>
    <w:basedOn w:val="Normal"/>
    <w:uiPriority w:val="99"/>
    <w:unhideWhenUsed/>
    <w:rsid w:val="00C47BC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094795">
      <w:bodyDiv w:val="1"/>
      <w:marLeft w:val="0"/>
      <w:marRight w:val="0"/>
      <w:marTop w:val="0"/>
      <w:marBottom w:val="0"/>
      <w:divBdr>
        <w:top w:val="none" w:sz="0" w:space="0" w:color="auto"/>
        <w:left w:val="none" w:sz="0" w:space="0" w:color="auto"/>
        <w:bottom w:val="none" w:sz="0" w:space="0" w:color="auto"/>
        <w:right w:val="none" w:sz="0" w:space="0" w:color="auto"/>
      </w:divBdr>
    </w:div>
    <w:div w:id="475489116">
      <w:bodyDiv w:val="1"/>
      <w:marLeft w:val="0"/>
      <w:marRight w:val="0"/>
      <w:marTop w:val="0"/>
      <w:marBottom w:val="0"/>
      <w:divBdr>
        <w:top w:val="none" w:sz="0" w:space="0" w:color="auto"/>
        <w:left w:val="none" w:sz="0" w:space="0" w:color="auto"/>
        <w:bottom w:val="none" w:sz="0" w:space="0" w:color="auto"/>
        <w:right w:val="none" w:sz="0" w:space="0" w:color="auto"/>
      </w:divBdr>
    </w:div>
    <w:div w:id="646588344">
      <w:bodyDiv w:val="1"/>
      <w:marLeft w:val="0"/>
      <w:marRight w:val="0"/>
      <w:marTop w:val="0"/>
      <w:marBottom w:val="0"/>
      <w:divBdr>
        <w:top w:val="none" w:sz="0" w:space="0" w:color="auto"/>
        <w:left w:val="none" w:sz="0" w:space="0" w:color="auto"/>
        <w:bottom w:val="none" w:sz="0" w:space="0" w:color="auto"/>
        <w:right w:val="none" w:sz="0" w:space="0" w:color="auto"/>
      </w:divBdr>
    </w:div>
    <w:div w:id="716397696">
      <w:bodyDiv w:val="1"/>
      <w:marLeft w:val="0"/>
      <w:marRight w:val="0"/>
      <w:marTop w:val="0"/>
      <w:marBottom w:val="0"/>
      <w:divBdr>
        <w:top w:val="none" w:sz="0" w:space="0" w:color="auto"/>
        <w:left w:val="none" w:sz="0" w:space="0" w:color="auto"/>
        <w:bottom w:val="none" w:sz="0" w:space="0" w:color="auto"/>
        <w:right w:val="none" w:sz="0" w:space="0" w:color="auto"/>
      </w:divBdr>
    </w:div>
    <w:div w:id="723872817">
      <w:bodyDiv w:val="1"/>
      <w:marLeft w:val="0"/>
      <w:marRight w:val="0"/>
      <w:marTop w:val="0"/>
      <w:marBottom w:val="0"/>
      <w:divBdr>
        <w:top w:val="none" w:sz="0" w:space="0" w:color="auto"/>
        <w:left w:val="none" w:sz="0" w:space="0" w:color="auto"/>
        <w:bottom w:val="none" w:sz="0" w:space="0" w:color="auto"/>
        <w:right w:val="none" w:sz="0" w:space="0" w:color="auto"/>
      </w:divBdr>
    </w:div>
    <w:div w:id="754395583">
      <w:bodyDiv w:val="1"/>
      <w:marLeft w:val="0"/>
      <w:marRight w:val="0"/>
      <w:marTop w:val="0"/>
      <w:marBottom w:val="0"/>
      <w:divBdr>
        <w:top w:val="none" w:sz="0" w:space="0" w:color="auto"/>
        <w:left w:val="none" w:sz="0" w:space="0" w:color="auto"/>
        <w:bottom w:val="none" w:sz="0" w:space="0" w:color="auto"/>
        <w:right w:val="none" w:sz="0" w:space="0" w:color="auto"/>
      </w:divBdr>
    </w:div>
    <w:div w:id="768742235">
      <w:bodyDiv w:val="1"/>
      <w:marLeft w:val="0"/>
      <w:marRight w:val="0"/>
      <w:marTop w:val="0"/>
      <w:marBottom w:val="0"/>
      <w:divBdr>
        <w:top w:val="none" w:sz="0" w:space="0" w:color="auto"/>
        <w:left w:val="none" w:sz="0" w:space="0" w:color="auto"/>
        <w:bottom w:val="none" w:sz="0" w:space="0" w:color="auto"/>
        <w:right w:val="none" w:sz="0" w:space="0" w:color="auto"/>
      </w:divBdr>
    </w:div>
    <w:div w:id="930815375">
      <w:bodyDiv w:val="1"/>
      <w:marLeft w:val="0"/>
      <w:marRight w:val="0"/>
      <w:marTop w:val="0"/>
      <w:marBottom w:val="0"/>
      <w:divBdr>
        <w:top w:val="none" w:sz="0" w:space="0" w:color="auto"/>
        <w:left w:val="none" w:sz="0" w:space="0" w:color="auto"/>
        <w:bottom w:val="none" w:sz="0" w:space="0" w:color="auto"/>
        <w:right w:val="none" w:sz="0" w:space="0" w:color="auto"/>
      </w:divBdr>
    </w:div>
    <w:div w:id="1084305383">
      <w:bodyDiv w:val="1"/>
      <w:marLeft w:val="0"/>
      <w:marRight w:val="0"/>
      <w:marTop w:val="0"/>
      <w:marBottom w:val="0"/>
      <w:divBdr>
        <w:top w:val="none" w:sz="0" w:space="0" w:color="auto"/>
        <w:left w:val="none" w:sz="0" w:space="0" w:color="auto"/>
        <w:bottom w:val="none" w:sz="0" w:space="0" w:color="auto"/>
        <w:right w:val="none" w:sz="0" w:space="0" w:color="auto"/>
      </w:divBdr>
    </w:div>
    <w:div w:id="1124426028">
      <w:bodyDiv w:val="1"/>
      <w:marLeft w:val="0"/>
      <w:marRight w:val="0"/>
      <w:marTop w:val="0"/>
      <w:marBottom w:val="0"/>
      <w:divBdr>
        <w:top w:val="none" w:sz="0" w:space="0" w:color="auto"/>
        <w:left w:val="none" w:sz="0" w:space="0" w:color="auto"/>
        <w:bottom w:val="none" w:sz="0" w:space="0" w:color="auto"/>
        <w:right w:val="none" w:sz="0" w:space="0" w:color="auto"/>
      </w:divBdr>
    </w:div>
    <w:div w:id="1148790094">
      <w:bodyDiv w:val="1"/>
      <w:marLeft w:val="0"/>
      <w:marRight w:val="0"/>
      <w:marTop w:val="0"/>
      <w:marBottom w:val="0"/>
      <w:divBdr>
        <w:top w:val="none" w:sz="0" w:space="0" w:color="auto"/>
        <w:left w:val="none" w:sz="0" w:space="0" w:color="auto"/>
        <w:bottom w:val="none" w:sz="0" w:space="0" w:color="auto"/>
        <w:right w:val="none" w:sz="0" w:space="0" w:color="auto"/>
      </w:divBdr>
    </w:div>
    <w:div w:id="1173911328">
      <w:bodyDiv w:val="1"/>
      <w:marLeft w:val="0"/>
      <w:marRight w:val="0"/>
      <w:marTop w:val="0"/>
      <w:marBottom w:val="0"/>
      <w:divBdr>
        <w:top w:val="none" w:sz="0" w:space="0" w:color="auto"/>
        <w:left w:val="none" w:sz="0" w:space="0" w:color="auto"/>
        <w:bottom w:val="none" w:sz="0" w:space="0" w:color="auto"/>
        <w:right w:val="none" w:sz="0" w:space="0" w:color="auto"/>
      </w:divBdr>
    </w:div>
    <w:div w:id="1243222586">
      <w:bodyDiv w:val="1"/>
      <w:marLeft w:val="0"/>
      <w:marRight w:val="0"/>
      <w:marTop w:val="0"/>
      <w:marBottom w:val="0"/>
      <w:divBdr>
        <w:top w:val="none" w:sz="0" w:space="0" w:color="auto"/>
        <w:left w:val="none" w:sz="0" w:space="0" w:color="auto"/>
        <w:bottom w:val="none" w:sz="0" w:space="0" w:color="auto"/>
        <w:right w:val="none" w:sz="0" w:space="0" w:color="auto"/>
      </w:divBdr>
    </w:div>
    <w:div w:id="1326321517">
      <w:bodyDiv w:val="1"/>
      <w:marLeft w:val="0"/>
      <w:marRight w:val="0"/>
      <w:marTop w:val="0"/>
      <w:marBottom w:val="0"/>
      <w:divBdr>
        <w:top w:val="none" w:sz="0" w:space="0" w:color="auto"/>
        <w:left w:val="none" w:sz="0" w:space="0" w:color="auto"/>
        <w:bottom w:val="none" w:sz="0" w:space="0" w:color="auto"/>
        <w:right w:val="none" w:sz="0" w:space="0" w:color="auto"/>
      </w:divBdr>
    </w:div>
    <w:div w:id="1350717146">
      <w:bodyDiv w:val="1"/>
      <w:marLeft w:val="0"/>
      <w:marRight w:val="0"/>
      <w:marTop w:val="0"/>
      <w:marBottom w:val="0"/>
      <w:divBdr>
        <w:top w:val="none" w:sz="0" w:space="0" w:color="auto"/>
        <w:left w:val="none" w:sz="0" w:space="0" w:color="auto"/>
        <w:bottom w:val="none" w:sz="0" w:space="0" w:color="auto"/>
        <w:right w:val="none" w:sz="0" w:space="0" w:color="auto"/>
      </w:divBdr>
    </w:div>
    <w:div w:id="1492402099">
      <w:bodyDiv w:val="1"/>
      <w:marLeft w:val="0"/>
      <w:marRight w:val="0"/>
      <w:marTop w:val="0"/>
      <w:marBottom w:val="0"/>
      <w:divBdr>
        <w:top w:val="none" w:sz="0" w:space="0" w:color="auto"/>
        <w:left w:val="none" w:sz="0" w:space="0" w:color="auto"/>
        <w:bottom w:val="none" w:sz="0" w:space="0" w:color="auto"/>
        <w:right w:val="none" w:sz="0" w:space="0" w:color="auto"/>
      </w:divBdr>
    </w:div>
    <w:div w:id="1822118018">
      <w:bodyDiv w:val="1"/>
      <w:marLeft w:val="0"/>
      <w:marRight w:val="0"/>
      <w:marTop w:val="0"/>
      <w:marBottom w:val="0"/>
      <w:divBdr>
        <w:top w:val="none" w:sz="0" w:space="0" w:color="auto"/>
        <w:left w:val="none" w:sz="0" w:space="0" w:color="auto"/>
        <w:bottom w:val="none" w:sz="0" w:space="0" w:color="auto"/>
        <w:right w:val="none" w:sz="0" w:space="0" w:color="auto"/>
      </w:divBdr>
    </w:div>
    <w:div w:id="1894805106">
      <w:bodyDiv w:val="1"/>
      <w:marLeft w:val="0"/>
      <w:marRight w:val="0"/>
      <w:marTop w:val="0"/>
      <w:marBottom w:val="0"/>
      <w:divBdr>
        <w:top w:val="none" w:sz="0" w:space="0" w:color="auto"/>
        <w:left w:val="none" w:sz="0" w:space="0" w:color="auto"/>
        <w:bottom w:val="none" w:sz="0" w:space="0" w:color="auto"/>
        <w:right w:val="none" w:sz="0" w:space="0" w:color="auto"/>
      </w:divBdr>
    </w:div>
    <w:div w:id="2027058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ndt.oxfordjournals.org/content/14/suppl_6/3.full.pdf+html"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3645</Words>
  <Characters>20781</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Portland State University</Company>
  <LinksUpToDate>false</LinksUpToDate>
  <CharactersWithSpaces>24378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Litxia Miranda</dc:creator>
  <cp:lastModifiedBy>Neal Wallace</cp:lastModifiedBy>
  <cp:revision>2</cp:revision>
  <dcterms:created xsi:type="dcterms:W3CDTF">2016-04-18T19:13:00Z</dcterms:created>
  <dcterms:modified xsi:type="dcterms:W3CDTF">2016-04-18T19:13:00Z</dcterms:modified>
</cp:coreProperties>
</file>