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7C02E" w14:textId="77777777" w:rsidR="00393F7D" w:rsidRPr="007E44CA" w:rsidRDefault="00393F7D" w:rsidP="009B5FBE">
      <w:pPr>
        <w:pStyle w:val="Bibliography"/>
        <w:contextualSpacing/>
        <w:jc w:val="center"/>
      </w:pPr>
    </w:p>
    <w:p w14:paraId="2DC47AF4" w14:textId="77777777" w:rsidR="00393F7D" w:rsidRPr="007E44CA" w:rsidRDefault="00393F7D" w:rsidP="009B5FBE">
      <w:pPr>
        <w:pStyle w:val="Bibliography"/>
        <w:contextualSpacing/>
        <w:jc w:val="center"/>
      </w:pPr>
    </w:p>
    <w:p w14:paraId="1EA1F91A" w14:textId="77777777" w:rsidR="00393F7D" w:rsidRDefault="00393F7D" w:rsidP="009B5FBE">
      <w:pPr>
        <w:pStyle w:val="Bibliography"/>
        <w:contextualSpacing/>
        <w:jc w:val="center"/>
      </w:pPr>
    </w:p>
    <w:p w14:paraId="4600E6BD" w14:textId="77777777" w:rsidR="00A37725" w:rsidRDefault="00A37725" w:rsidP="00A37725"/>
    <w:p w14:paraId="2BA0CB5C" w14:textId="77777777" w:rsidR="00A37725" w:rsidRDefault="00A37725" w:rsidP="00A37725"/>
    <w:p w14:paraId="52A65513" w14:textId="77777777" w:rsidR="00A37725" w:rsidRDefault="00A37725" w:rsidP="00A37725"/>
    <w:p w14:paraId="521A8CC6" w14:textId="77777777" w:rsidR="00A37725" w:rsidRDefault="00A37725" w:rsidP="00A37725"/>
    <w:p w14:paraId="5F975DB9" w14:textId="77777777" w:rsidR="00A37725" w:rsidRDefault="00A37725" w:rsidP="00A37725"/>
    <w:p w14:paraId="4CF35B39" w14:textId="77777777" w:rsidR="00A37725" w:rsidRPr="00A37725" w:rsidRDefault="00A37725" w:rsidP="00A37725"/>
    <w:p w14:paraId="55ECD8B8" w14:textId="77777777" w:rsidR="00EE5E72" w:rsidRPr="00EE5E72" w:rsidRDefault="00EE5E72" w:rsidP="00EE5E72">
      <w:pPr>
        <w:pStyle w:val="Bibliography"/>
        <w:contextualSpacing/>
        <w:jc w:val="center"/>
        <w:rPr>
          <w:i/>
        </w:rPr>
      </w:pPr>
      <w:r w:rsidRPr="00EE5E72">
        <w:rPr>
          <w:i/>
        </w:rPr>
        <w:t>Peru’s Health System</w:t>
      </w:r>
    </w:p>
    <w:p w14:paraId="7A42E701" w14:textId="77777777" w:rsidR="00EE5E72" w:rsidRDefault="00EE5E72" w:rsidP="00EE5E72">
      <w:pPr>
        <w:pStyle w:val="Bibliography"/>
        <w:contextualSpacing/>
        <w:jc w:val="center"/>
      </w:pPr>
      <w:r>
        <w:t>Angela Spencer, MBA</w:t>
      </w:r>
    </w:p>
    <w:p w14:paraId="73A4FB3C" w14:textId="77777777" w:rsidR="00EE5E72" w:rsidRDefault="00EE5E72" w:rsidP="00EE5E72">
      <w:pPr>
        <w:pStyle w:val="Bibliography"/>
        <w:contextualSpacing/>
        <w:jc w:val="center"/>
      </w:pPr>
      <w:r>
        <w:t xml:space="preserve">Portland State University </w:t>
      </w:r>
    </w:p>
    <w:p w14:paraId="46DE1E08" w14:textId="12A20141" w:rsidR="00393F7D" w:rsidRPr="007E44CA" w:rsidRDefault="00EE5E72" w:rsidP="00EE5E72">
      <w:pPr>
        <w:pStyle w:val="Bibliography"/>
        <w:contextualSpacing/>
        <w:jc w:val="center"/>
      </w:pPr>
      <w:r>
        <w:t>April 11, 2016</w:t>
      </w:r>
    </w:p>
    <w:p w14:paraId="06ABA5AB" w14:textId="77777777" w:rsidR="00365490" w:rsidRPr="007E44CA" w:rsidRDefault="00365490" w:rsidP="009B5FBE">
      <w:pPr>
        <w:contextualSpacing/>
        <w:jc w:val="center"/>
      </w:pPr>
    </w:p>
    <w:p w14:paraId="0263E36F" w14:textId="77777777" w:rsidR="00EE5E72" w:rsidRDefault="00EE5E72">
      <w:pPr>
        <w:rPr>
          <w:rFonts w:ascii="Times New Roman" w:hAnsi="Times New Roman" w:cs="Times New Roman"/>
        </w:rPr>
      </w:pPr>
      <w:r>
        <w:rPr>
          <w:rFonts w:ascii="Times New Roman" w:hAnsi="Times New Roman" w:cs="Times New Roman"/>
        </w:rPr>
        <w:br w:type="page"/>
      </w:r>
    </w:p>
    <w:p w14:paraId="23A42585" w14:textId="0468A88E" w:rsidR="00EE5E72" w:rsidRDefault="00EE5E72" w:rsidP="00EE5E72">
      <w:pPr>
        <w:spacing w:line="480" w:lineRule="auto"/>
        <w:ind w:firstLine="720"/>
        <w:rPr>
          <w:rFonts w:ascii="Times New Roman" w:hAnsi="Times New Roman" w:cs="Times New Roman"/>
        </w:rPr>
      </w:pPr>
      <w:r w:rsidRPr="006B5018">
        <w:rPr>
          <w:rFonts w:ascii="Times New Roman" w:hAnsi="Times New Roman" w:cs="Times New Roman"/>
        </w:rPr>
        <w:lastRenderedPageBreak/>
        <w:t xml:space="preserve">Peru has </w:t>
      </w:r>
      <w:r w:rsidR="00521DFF">
        <w:rPr>
          <w:rFonts w:ascii="Times New Roman" w:hAnsi="Times New Roman" w:cs="Times New Roman"/>
        </w:rPr>
        <w:t xml:space="preserve">a </w:t>
      </w:r>
      <w:r w:rsidRPr="006B5018">
        <w:rPr>
          <w:rFonts w:ascii="Times New Roman" w:hAnsi="Times New Roman" w:cs="Times New Roman"/>
        </w:rPr>
        <w:t xml:space="preserve">decentralized system, with 5 entities administering health care. There is a public system, called </w:t>
      </w:r>
      <w:r w:rsidRPr="006B5018">
        <w:rPr>
          <w:rFonts w:ascii="Times New Roman" w:hAnsi="Times New Roman" w:cs="Times New Roman"/>
          <w:i/>
        </w:rPr>
        <w:t>Seguro Integral de Salud</w:t>
      </w:r>
      <w:r w:rsidRPr="006B5018">
        <w:rPr>
          <w:rFonts w:ascii="Times New Roman" w:hAnsi="Times New Roman" w:cs="Times New Roman"/>
        </w:rPr>
        <w:t xml:space="preserve"> (SIS), for which all Peruvians are eligible, if they do not other options for health insurance. Managed by the Ministry of Health, SIS covers about 60% of insured Peruvians (World Health Organization [WHO], 2016). About 20-30% of the insured population has social security coverage, called EsSalud, connected to employment. Another 4-10% of insured Peruvians have health care via the armed services, national police, or private insurance (Franke, 2013; WHO, 2016).</w:t>
      </w:r>
    </w:p>
    <w:p w14:paraId="6B4011D1" w14:textId="77777777" w:rsidR="00EE5E72" w:rsidRPr="006B5018" w:rsidRDefault="00EE5E72" w:rsidP="00EE5E72">
      <w:pPr>
        <w:spacing w:line="480" w:lineRule="auto"/>
        <w:ind w:firstLine="720"/>
        <w:rPr>
          <w:rFonts w:ascii="Times New Roman" w:hAnsi="Times New Roman" w:cs="Times New Roman"/>
        </w:rPr>
      </w:pPr>
      <w:r w:rsidRPr="006B5018">
        <w:rPr>
          <w:rFonts w:ascii="Times New Roman" w:hAnsi="Times New Roman" w:cs="Times New Roman"/>
        </w:rPr>
        <w:t xml:space="preserve">Peru’s goal is universal health care. To that end, the Universal Health Insurance Law (AUS Law, uses Spanish initials) was passed in 2009, directing the Ministry of Health (MINSA) to create </w:t>
      </w:r>
      <w:r>
        <w:rPr>
          <w:rFonts w:ascii="Times New Roman" w:hAnsi="Times New Roman" w:cs="Times New Roman"/>
        </w:rPr>
        <w:t xml:space="preserve">a </w:t>
      </w:r>
      <w:r w:rsidRPr="006B5018">
        <w:rPr>
          <w:rFonts w:ascii="Times New Roman" w:hAnsi="Times New Roman" w:cs="Times New Roman"/>
        </w:rPr>
        <w:t xml:space="preserve">basic health insurance plan for all Peruvians </w:t>
      </w:r>
      <w:r w:rsidRPr="006B5018">
        <w:rPr>
          <w:rFonts w:ascii="Times New Roman" w:hAnsi="Times New Roman" w:cs="Times New Roman"/>
        </w:rPr>
        <w:fldChar w:fldCharType="begin"/>
      </w:r>
      <w:r w:rsidRPr="006B5018">
        <w:rPr>
          <w:rFonts w:ascii="Times New Roman" w:hAnsi="Times New Roman" w:cs="Times New Roman"/>
        </w:rPr>
        <w:instrText xml:space="preserve"> ADDIN ZOTERO_ITEM CSL_CITATION {"citationID":"2kkhsh9lqs","properties":{"formattedCitation":"(Giedion, Bitran, Tristao, Inter-American Development Bank, &amp; Social Protection and Health Division, 2014)","plainCitation":"(Giedion, Bitran, Tristao, Inter-American Development Bank, &amp; Social Protection and Health Division, 2014)"},"citationItems":[{"id":1036,"uris":["http://zotero.org/users/1633329/items/2ZQGH95B"],"uri":["http://zotero.org/users/1633329/items/2ZQGH95B"],"itemData":{"id":1036,"type":"book","title":"Health benefit plans in Latin America: a regional comparison","source":"Open WorldCat","ISBN":"978-1-59782-177-3","shortTitle":"Health benefit plans in Latin America","language":"English","author":[{"family":"Giedion","given":"Ursula"},{"family":"Bitran","given":"Ricardo A"},{"family":"Tristao","given":"Ignez"},{"literal":"Inter-American Development Bank"},{"literal":"Social Protection and Health Division"}],"issued":{"date-parts":[["2014"]]}}}],"schema":"https://github.com/citation-style-language/schema/raw/master/csl-citation.json"} </w:instrText>
      </w:r>
      <w:r w:rsidRPr="006B5018">
        <w:rPr>
          <w:rFonts w:ascii="Times New Roman" w:hAnsi="Times New Roman" w:cs="Times New Roman"/>
        </w:rPr>
        <w:fldChar w:fldCharType="separate"/>
      </w:r>
      <w:r w:rsidRPr="006B5018">
        <w:rPr>
          <w:rFonts w:ascii="Times New Roman" w:hAnsi="Times New Roman" w:cs="Times New Roman"/>
          <w:noProof/>
        </w:rPr>
        <w:t>(Giedion, Bitrán, &amp; Tristao, 2014)</w:t>
      </w:r>
      <w:r w:rsidRPr="006B5018">
        <w:rPr>
          <w:rFonts w:ascii="Times New Roman" w:hAnsi="Times New Roman" w:cs="Times New Roman"/>
        </w:rPr>
        <w:fldChar w:fldCharType="end"/>
      </w:r>
      <w:r w:rsidRPr="006B5018">
        <w:rPr>
          <w:rFonts w:ascii="Times New Roman" w:hAnsi="Times New Roman" w:cs="Times New Roman"/>
        </w:rPr>
        <w:t xml:space="preserve">. However universal coverage has not yet been achieved </w:t>
      </w:r>
      <w:r w:rsidRPr="006B5018">
        <w:rPr>
          <w:rFonts w:ascii="Times New Roman" w:hAnsi="Times New Roman" w:cs="Times New Roman"/>
        </w:rPr>
        <w:fldChar w:fldCharType="begin"/>
      </w:r>
      <w:r w:rsidRPr="006B5018">
        <w:rPr>
          <w:rFonts w:ascii="Times New Roman" w:hAnsi="Times New Roman" w:cs="Times New Roman"/>
        </w:rPr>
        <w:instrText xml:space="preserve"> ADDIN ZOTERO_ITEM CSL_CITATION {"citationID":"1htoa9977u","properties":{"formattedCitation":"(Francke, 2013)","plainCitation":"(Francke, 2013)"},"citationItems":[{"id":1034,"uris":["http://zotero.org/users/1633329/items/BBEDTPN2"],"uri":["http://zotero.org/users/1633329/items/BBEDTPN2"],"itemData":{"id":1034,"type":"article-journal","title":"UNICO Studies Series 11 Peru's Comprehensive Health Insurance and New Challenges for Universal Coverage","source":"Google Scholar","author":[{"family":"Francke","given":"Pedro"}],"issued":{"date-parts":[["2013"]]}}}],"schema":"https://github.com/citation-style-language/schema/raw/master/csl-citation.json"} </w:instrText>
      </w:r>
      <w:r w:rsidRPr="006B5018">
        <w:rPr>
          <w:rFonts w:ascii="Times New Roman" w:hAnsi="Times New Roman" w:cs="Times New Roman"/>
        </w:rPr>
        <w:fldChar w:fldCharType="separate"/>
      </w:r>
      <w:r w:rsidRPr="006B5018">
        <w:rPr>
          <w:rFonts w:ascii="Times New Roman" w:hAnsi="Times New Roman" w:cs="Times New Roman"/>
          <w:noProof/>
        </w:rPr>
        <w:t>(Francke, 2013)</w:t>
      </w:r>
      <w:r w:rsidRPr="006B5018">
        <w:rPr>
          <w:rFonts w:ascii="Times New Roman" w:hAnsi="Times New Roman" w:cs="Times New Roman"/>
        </w:rPr>
        <w:fldChar w:fldCharType="end"/>
      </w:r>
      <w:r w:rsidRPr="006B5018">
        <w:rPr>
          <w:rFonts w:ascii="Times New Roman" w:hAnsi="Times New Roman" w:cs="Times New Roman"/>
        </w:rPr>
        <w:t xml:space="preserve">. Despite opportunities for insurance coverage, approximately 20-30% of the population are uninsured (Inter-American Development Bank, 2015; </w:t>
      </w:r>
      <w:r w:rsidRPr="006B5018">
        <w:rPr>
          <w:rFonts w:ascii="Times New Roman" w:hAnsi="Times New Roman" w:cs="Times New Roman"/>
        </w:rPr>
        <w:fldChar w:fldCharType="begin"/>
      </w:r>
      <w:r w:rsidRPr="006B5018">
        <w:rPr>
          <w:rFonts w:ascii="Times New Roman" w:hAnsi="Times New Roman" w:cs="Times New Roman"/>
        </w:rPr>
        <w:instrText xml:space="preserve"> ADDIN ZOTERO_ITEM CSL_CITATION {"citationID":"s7mh1bou8","properties":{"formattedCitation":"{\\rtf (Seinfeld, Monta\\uc0\\u241{}ez, &amp; Besich, 2013)}","plainCitation":"(Seinfeld, Montañez, &amp; Besich, 2013)"},"citationItems":[{"id":1038,"uris":["http://zotero.org/users/1633329/items/V9CQ3FP5"],"uri":["http://zotero.org/users/1633329/items/V9CQ3FP5"],"itemData":{"id":1038,"type":"article-journal","title":"The Health Insurance System in Peru: Towards a Universal Health Insurance","container-title":"Global Development Network","source":"Google Scholar","URL":"http://coopami.org/en/countries/countries/Peru/social_protection/pdf/social_protection02.pdf","shortTitle":"The Health Insurance System in Peru","author":[{"family":"Seinfeld","given":"Janice"},{"family":"Montañez","given":"Vilma"},{"family":"Besich","given":"Nicolás"}],"issued":{"date-parts":[["2013"]]},"accessed":{"date-parts":[["2016",4,10]]}}}],"schema":"https://github.com/citation-style-language/schema/raw/master/csl-citation.json"} </w:instrText>
      </w:r>
      <w:r w:rsidRPr="006B5018">
        <w:rPr>
          <w:rFonts w:ascii="Times New Roman" w:hAnsi="Times New Roman" w:cs="Times New Roman"/>
        </w:rPr>
        <w:fldChar w:fldCharType="separate"/>
      </w:r>
      <w:r w:rsidRPr="006B5018">
        <w:rPr>
          <w:rFonts w:ascii="Times New Roman" w:hAnsi="Times New Roman" w:cs="Times New Roman"/>
        </w:rPr>
        <w:t>Seinfeld, Montañez, &amp; Besich, 2013)</w:t>
      </w:r>
      <w:r w:rsidRPr="006B5018">
        <w:rPr>
          <w:rFonts w:ascii="Times New Roman" w:hAnsi="Times New Roman" w:cs="Times New Roman"/>
        </w:rPr>
        <w:fldChar w:fldCharType="end"/>
      </w:r>
      <w:r w:rsidRPr="006B5018">
        <w:rPr>
          <w:rFonts w:ascii="Times New Roman" w:hAnsi="Times New Roman" w:cs="Times New Roman"/>
        </w:rPr>
        <w:t xml:space="preserve">. Problems with enrolling people in SIS included difficulty with information systems connectivity at implementation, resulting in higher enrollments for people residing in urban areas and lower enrollments for rural Peruvians </w:t>
      </w:r>
      <w:r w:rsidRPr="006B5018">
        <w:rPr>
          <w:rFonts w:ascii="Times New Roman" w:hAnsi="Times New Roman" w:cs="Times New Roman"/>
        </w:rPr>
        <w:fldChar w:fldCharType="begin"/>
      </w:r>
      <w:r w:rsidRPr="006B5018">
        <w:rPr>
          <w:rFonts w:ascii="Times New Roman" w:hAnsi="Times New Roman" w:cs="Times New Roman"/>
        </w:rPr>
        <w:instrText xml:space="preserve"> ADDIN ZOTERO_ITEM CSL_CITATION {"citationID":"HTqHB6FR","properties":{"formattedCitation":"(Giedion, Bitran, Tristao, Inter-American Development Bank, &amp; Social Protection and Health Division, 2014)","plainCitation":"(Giedion, Bitran, Tristao, Inter-American Development Bank, &amp; Social Protection and Health Division, 2014)","dontUpdate":true},"citationItems":[{"id":1036,"uris":["http://zotero.org/users/1633329/items/2ZQGH95B"],"uri":["http://zotero.org/users/1633329/items/2ZQGH95B"],"itemData":{"id":1036,"type":"book","title":"Health benefit plans in Latin America: a regional comparison","source":"Open WorldCat","ISBN":"978-1-59782-177-3","shortTitle":"Health benefit plans in Latin America","language":"English","author":[{"family":"Giedion","given":"Ursula"},{"family":"Bitran","given":"Ricardo A"},{"family":"Tristao","given":"Ignez"},{"literal":"Inter-American Development Bank"},{"literal":"Social Protection and Health Division"}],"issued":{"date-parts":[["2014"]]}}}],"schema":"https://github.com/citation-style-language/schema/raw/master/csl-citation.json"} </w:instrText>
      </w:r>
      <w:r w:rsidRPr="006B5018">
        <w:rPr>
          <w:rFonts w:ascii="Times New Roman" w:hAnsi="Times New Roman" w:cs="Times New Roman"/>
        </w:rPr>
        <w:fldChar w:fldCharType="separate"/>
      </w:r>
      <w:r w:rsidRPr="006B5018">
        <w:rPr>
          <w:rFonts w:ascii="Times New Roman" w:hAnsi="Times New Roman" w:cs="Times New Roman"/>
          <w:noProof/>
        </w:rPr>
        <w:t>(Giedion, et al., 2014)</w:t>
      </w:r>
      <w:r w:rsidRPr="006B5018">
        <w:rPr>
          <w:rFonts w:ascii="Times New Roman" w:hAnsi="Times New Roman" w:cs="Times New Roman"/>
        </w:rPr>
        <w:fldChar w:fldCharType="end"/>
      </w:r>
      <w:r w:rsidRPr="006B5018">
        <w:rPr>
          <w:rFonts w:ascii="Times New Roman" w:hAnsi="Times New Roman" w:cs="Times New Roman"/>
        </w:rPr>
        <w:t>.</w:t>
      </w:r>
    </w:p>
    <w:p w14:paraId="13F8691A" w14:textId="77777777" w:rsidR="00EE5E72" w:rsidRPr="006B5018" w:rsidRDefault="00EE5E72" w:rsidP="00EE5E72">
      <w:pPr>
        <w:spacing w:line="480" w:lineRule="auto"/>
        <w:ind w:firstLine="720"/>
        <w:rPr>
          <w:rFonts w:ascii="Times New Roman" w:hAnsi="Times New Roman" w:cs="Times New Roman"/>
        </w:rPr>
      </w:pPr>
      <w:r w:rsidRPr="006B5018">
        <w:rPr>
          <w:rFonts w:ascii="Times New Roman" w:hAnsi="Times New Roman" w:cs="Times New Roman"/>
        </w:rPr>
        <w:t xml:space="preserve">The passage of the AUS Law in 2009 guaranteed a minimum threshold of health coverage for all Peruvians. According to </w:t>
      </w:r>
      <w:r w:rsidRPr="006B5018">
        <w:rPr>
          <w:rFonts w:ascii="Times New Roman" w:hAnsi="Times New Roman" w:cs="Times New Roman"/>
        </w:rPr>
        <w:fldChar w:fldCharType="begin"/>
      </w:r>
      <w:r w:rsidRPr="006B5018">
        <w:rPr>
          <w:rFonts w:ascii="Times New Roman" w:hAnsi="Times New Roman" w:cs="Times New Roman"/>
        </w:rPr>
        <w:instrText xml:space="preserve"> ADDIN ZOTERO_ITEM CSL_CITATION {"citationID":"DcXEjQq8","properties":{"formattedCitation":"{\\rtf (Seinfeld, Monta\\uc0\\u241{}ez, &amp; Besich, 2013)}","plainCitation":"(Seinfeld, Montañez, &amp; Besich, 2013)","dontUpdate":true},"citationItems":[{"id":1038,"uris":["http://zotero.org/users/1633329/items/V9CQ3FP5"],"uri":["http://zotero.org/users/1633329/items/V9CQ3FP5"],"itemData":{"id":1038,"type":"article-journal","title":"The Health Insurance System in Peru: Towards a Universal Health Insurance","container-title":"Global Development Network","source":"Google Scholar","URL":"http://coopami.org/en/countries/countries/Peru/social_protection/pdf/social_protection02.pdf","shortTitle":"The Health Insurance System in Peru","author":[{"family":"Seinfeld","given":"Janice"},{"family":"Montañez","given":"Vilma"},{"family":"Besich","given":"Nicolás"}],"issued":{"date-parts":[["2013"]]},"accessed":{"date-parts":[["2016",4,10]]}}}],"schema":"https://github.com/citation-style-language/schema/raw/master/csl-citation.json"} </w:instrText>
      </w:r>
      <w:r w:rsidRPr="006B5018">
        <w:rPr>
          <w:rFonts w:ascii="Times New Roman" w:hAnsi="Times New Roman" w:cs="Times New Roman"/>
        </w:rPr>
        <w:fldChar w:fldCharType="separate"/>
      </w:r>
      <w:r w:rsidRPr="006B5018">
        <w:rPr>
          <w:rFonts w:ascii="Times New Roman" w:hAnsi="Times New Roman" w:cs="Times New Roman"/>
        </w:rPr>
        <w:t>Seinfeld, et al.</w:t>
      </w:r>
      <w:r w:rsidRPr="006B5018">
        <w:rPr>
          <w:rFonts w:ascii="Times New Roman" w:hAnsi="Times New Roman" w:cs="Times New Roman"/>
        </w:rPr>
        <w:fldChar w:fldCharType="end"/>
      </w:r>
      <w:r w:rsidRPr="006B5018">
        <w:rPr>
          <w:rFonts w:ascii="Times New Roman" w:hAnsi="Times New Roman" w:cs="Times New Roman"/>
        </w:rPr>
        <w:t xml:space="preserve">: “In the Essential Plan of Health Insurance (PEAS), the basic plan required to be offered by all public and private insurers includes 140 health conditions, organized in interventions and services according to stages of life and the health status of the population. It also includes 44 explicit guarantees of timeliness and quality for maternal and infant conditions (2013).” PEAS emphasizes maternal and child health, disease prevention and control across the lifespan. Only three catastrophic conditions are covered </w:t>
      </w:r>
      <w:r w:rsidRPr="006B5018">
        <w:rPr>
          <w:rFonts w:ascii="Times New Roman" w:hAnsi="Times New Roman" w:cs="Times New Roman"/>
        </w:rPr>
        <w:lastRenderedPageBreak/>
        <w:t xml:space="preserve">by PEAS </w:t>
      </w:r>
      <w:r w:rsidRPr="006B5018">
        <w:rPr>
          <w:rFonts w:ascii="Times New Roman" w:hAnsi="Times New Roman" w:cs="Times New Roman"/>
        </w:rPr>
        <w:fldChar w:fldCharType="begin"/>
      </w:r>
      <w:r w:rsidRPr="006B5018">
        <w:rPr>
          <w:rFonts w:ascii="Times New Roman" w:hAnsi="Times New Roman" w:cs="Times New Roman"/>
        </w:rPr>
        <w:instrText xml:space="preserve"> ADDIN ZOTERO_ITEM CSL_CITATION {"citationID":"21mbjkimjm","properties":{"formattedCitation":"(Giedion, Bitran, Tristao, Inter-American Development Bank, &amp; Social Protection and Health Division, 2014)","plainCitation":"(Giedion, Bitran, Tristao, Inter-American Development Bank, &amp; Social Protection and Health Division, 2014)","dontUpdate":true},"citationItems":[{"id":1036,"uris":["http://zotero.org/users/1633329/items/2ZQGH95B"],"uri":["http://zotero.org/users/1633329/items/2ZQGH95B"],"itemData":{"id":1036,"type":"book","title":"Health benefit plans in Latin America: a regional comparison","source":"Open WorldCat","ISBN":"978-1-59782-177-3","shortTitle":"Health benefit plans in Latin America","language":"English","author":[{"family":"Giedion","given":"Ursula"},{"family":"Bitran","given":"Ricardo A"},{"family":"Tristao","given":"Ignez"},{"literal":"Inter-American Development Bank"},{"literal":"Social Protection and Health Division"}],"issued":{"date-parts":[["2014"]]}}}],"schema":"https://github.com/citation-style-language/schema/raw/master/csl-citation.json"} </w:instrText>
      </w:r>
      <w:r w:rsidRPr="006B5018">
        <w:rPr>
          <w:rFonts w:ascii="Times New Roman" w:hAnsi="Times New Roman" w:cs="Times New Roman"/>
        </w:rPr>
        <w:fldChar w:fldCharType="separate"/>
      </w:r>
      <w:r w:rsidRPr="006B5018">
        <w:rPr>
          <w:rFonts w:ascii="Times New Roman" w:hAnsi="Times New Roman" w:cs="Times New Roman"/>
          <w:noProof/>
        </w:rPr>
        <w:t>(Giedion, et al., 2014)</w:t>
      </w:r>
      <w:r w:rsidRPr="006B5018">
        <w:rPr>
          <w:rFonts w:ascii="Times New Roman" w:hAnsi="Times New Roman" w:cs="Times New Roman"/>
        </w:rPr>
        <w:fldChar w:fldCharType="end"/>
      </w:r>
      <w:r w:rsidRPr="006B5018">
        <w:rPr>
          <w:rFonts w:ascii="Times New Roman" w:hAnsi="Times New Roman" w:cs="Times New Roman"/>
        </w:rPr>
        <w:t xml:space="preserve">. Supplemental coverage for catastrophic illness is provided by the national Intangible Solidarity Fund for Health (FISSAL). The Ministry of Health, following the criteria set forth in the AUS Law, created the initial list of PEAS-covered conditions in 2009. First, health conditions were ranked in order of highest to lowest burden of disease, and the top 45% of conditions were covered </w:t>
      </w:r>
      <w:r w:rsidRPr="006B5018">
        <w:rPr>
          <w:rFonts w:ascii="Times New Roman" w:hAnsi="Times New Roman" w:cs="Times New Roman"/>
        </w:rPr>
        <w:fldChar w:fldCharType="begin"/>
      </w:r>
      <w:r w:rsidRPr="006B5018">
        <w:rPr>
          <w:rFonts w:ascii="Times New Roman" w:hAnsi="Times New Roman" w:cs="Times New Roman"/>
        </w:rPr>
        <w:instrText xml:space="preserve"> ADDIN ZOTERO_ITEM CSL_CITATION {"citationID":"2iroff7tjp","properties":{"formattedCitation":"(Giedion et al., 2014)","plainCitation":"(Giedion et al., 2014)"},"citationItems":[{"id":1036,"uris":["http://zotero.org/users/1633329/items/2ZQGH95B"],"uri":["http://zotero.org/users/1633329/items/2ZQGH95B"],"itemData":{"id":1036,"type":"book","title":"Health benefit plans in Latin America: a regional comparison","source":"Open WorldCat","ISBN":"978-1-59782-177-3","shortTitle":"Health benefit plans in Latin America","language":"English","author":[{"family":"Giedion","given":"Ursula"},{"family":"Bitran","given":"Ricardo A"},{"family":"Tristao","given":"Ignez"},{"literal":"Inter-American Development Bank"},{"literal":"Social Protection and Health Division"}],"issued":{"date-parts":[["2014"]]}}}],"schema":"https://github.com/citation-style-language/schema/raw/master/csl-citation.json"} </w:instrText>
      </w:r>
      <w:r w:rsidRPr="006B5018">
        <w:rPr>
          <w:rFonts w:ascii="Times New Roman" w:hAnsi="Times New Roman" w:cs="Times New Roman"/>
        </w:rPr>
        <w:fldChar w:fldCharType="separate"/>
      </w:r>
      <w:r w:rsidRPr="006B5018">
        <w:rPr>
          <w:rFonts w:ascii="Times New Roman" w:hAnsi="Times New Roman" w:cs="Times New Roman"/>
          <w:noProof/>
        </w:rPr>
        <w:t>(Giedion et al., 2014)</w:t>
      </w:r>
      <w:r w:rsidRPr="006B5018">
        <w:rPr>
          <w:rFonts w:ascii="Times New Roman" w:hAnsi="Times New Roman" w:cs="Times New Roman"/>
        </w:rPr>
        <w:fldChar w:fldCharType="end"/>
      </w:r>
      <w:r w:rsidRPr="006B5018">
        <w:rPr>
          <w:rFonts w:ascii="Times New Roman" w:hAnsi="Times New Roman" w:cs="Times New Roman"/>
        </w:rPr>
        <w:t xml:space="preserve">. Then, conditions requiring hospital care with costs exceeding 30% of average annual spending for families living in extreme poverty (in 2010, that figure was $653.89 US), then conditions were excluded from the list if comprehensive care was not possible under the health system’s resources </w:t>
      </w:r>
      <w:r w:rsidRPr="006B5018">
        <w:rPr>
          <w:rFonts w:ascii="Times New Roman" w:hAnsi="Times New Roman" w:cs="Times New Roman"/>
        </w:rPr>
        <w:fldChar w:fldCharType="begin"/>
      </w:r>
      <w:r w:rsidRPr="006B5018">
        <w:rPr>
          <w:rFonts w:ascii="Times New Roman" w:hAnsi="Times New Roman" w:cs="Times New Roman"/>
        </w:rPr>
        <w:instrText xml:space="preserve"> ADDIN ZOTERO_ITEM CSL_CITATION {"citationID":"9f9v9Rj6","properties":{"formattedCitation":"(Giedion et al., 2014)","plainCitation":"(Giedion et al., 2014)"},"citationItems":[{"id":1036,"uris":["http://zotero.org/users/1633329/items/2ZQGH95B"],"uri":["http://zotero.org/users/1633329/items/2ZQGH95B"],"itemData":{"id":1036,"type":"book","title":"Health benefit plans in Latin America: a regional comparison","source":"Open WorldCat","ISBN":"978-1-59782-177-3","shortTitle":"Health benefit plans in Latin America","language":"English","author":[{"family":"Giedion","given":"Ursula"},{"family":"Bitran","given":"Ricardo A"},{"family":"Tristao","given":"Ignez"},{"literal":"Inter-American Development Bank"},{"literal":"Social Protection and Health Division"}],"issued":{"date-parts":[["2014"]]}}}],"schema":"https://github.com/citation-style-language/schema/raw/master/csl-citation.json"} </w:instrText>
      </w:r>
      <w:r w:rsidRPr="006B5018">
        <w:rPr>
          <w:rFonts w:ascii="Times New Roman" w:hAnsi="Times New Roman" w:cs="Times New Roman"/>
        </w:rPr>
        <w:fldChar w:fldCharType="separate"/>
      </w:r>
      <w:r w:rsidRPr="006B5018">
        <w:rPr>
          <w:rFonts w:ascii="Times New Roman" w:hAnsi="Times New Roman" w:cs="Times New Roman"/>
          <w:noProof/>
        </w:rPr>
        <w:t>(Giedion et al., 2014)</w:t>
      </w:r>
      <w:r w:rsidRPr="006B5018">
        <w:rPr>
          <w:rFonts w:ascii="Times New Roman" w:hAnsi="Times New Roman" w:cs="Times New Roman"/>
        </w:rPr>
        <w:fldChar w:fldCharType="end"/>
      </w:r>
      <w:r w:rsidRPr="006B5018">
        <w:rPr>
          <w:rFonts w:ascii="Times New Roman" w:hAnsi="Times New Roman" w:cs="Times New Roman"/>
        </w:rPr>
        <w:t xml:space="preserve">. Finally, treatments that were covered by SIS and EsSalud were also included </w:t>
      </w:r>
      <w:r w:rsidRPr="006B5018">
        <w:rPr>
          <w:rFonts w:ascii="Times New Roman" w:hAnsi="Times New Roman" w:cs="Times New Roman"/>
        </w:rPr>
        <w:fldChar w:fldCharType="begin"/>
      </w:r>
      <w:r w:rsidRPr="006B5018">
        <w:rPr>
          <w:rFonts w:ascii="Times New Roman" w:hAnsi="Times New Roman" w:cs="Times New Roman"/>
        </w:rPr>
        <w:instrText xml:space="preserve"> ADDIN ZOTERO_ITEM CSL_CITATION {"citationID":"poHg1EUX","properties":{"formattedCitation":"(Giedion et al., 2014)","plainCitation":"(Giedion et al., 2014)"},"citationItems":[{"id":1036,"uris":["http://zotero.org/users/1633329/items/2ZQGH95B"],"uri":["http://zotero.org/users/1633329/items/2ZQGH95B"],"itemData":{"id":1036,"type":"book","title":"Health benefit plans in Latin America: a regional comparison","source":"Open WorldCat","ISBN":"978-1-59782-177-3","shortTitle":"Health benefit plans in Latin America","language":"English","author":[{"family":"Giedion","given":"Ursula"},{"family":"Bitran","given":"Ricardo A"},{"family":"Tristao","given":"Ignez"},{"literal":"Inter-American Development Bank"},{"literal":"Social Protection and Health Division"}],"issued":{"date-parts":[["2014"]]}}}],"schema":"https://github.com/citation-style-language/schema/raw/master/csl-citation.json"} </w:instrText>
      </w:r>
      <w:r w:rsidRPr="006B5018">
        <w:rPr>
          <w:rFonts w:ascii="Times New Roman" w:hAnsi="Times New Roman" w:cs="Times New Roman"/>
        </w:rPr>
        <w:fldChar w:fldCharType="separate"/>
      </w:r>
      <w:r w:rsidRPr="006B5018">
        <w:rPr>
          <w:rFonts w:ascii="Times New Roman" w:hAnsi="Times New Roman" w:cs="Times New Roman"/>
          <w:noProof/>
        </w:rPr>
        <w:t>(Giedion et al., 2014)</w:t>
      </w:r>
      <w:r w:rsidRPr="006B5018">
        <w:rPr>
          <w:rFonts w:ascii="Times New Roman" w:hAnsi="Times New Roman" w:cs="Times New Roman"/>
        </w:rPr>
        <w:fldChar w:fldCharType="end"/>
      </w:r>
      <w:r w:rsidRPr="006B5018">
        <w:rPr>
          <w:rFonts w:ascii="Times New Roman" w:hAnsi="Times New Roman" w:cs="Times New Roman"/>
        </w:rPr>
        <w:t xml:space="preserve">. Ultimately, 65% of the total burden of disease was covered by PEAS as of 2014 </w:t>
      </w:r>
      <w:r w:rsidRPr="006B5018">
        <w:rPr>
          <w:rFonts w:ascii="Times New Roman" w:hAnsi="Times New Roman" w:cs="Times New Roman"/>
        </w:rPr>
        <w:fldChar w:fldCharType="begin"/>
      </w:r>
      <w:r w:rsidRPr="006B5018">
        <w:rPr>
          <w:rFonts w:ascii="Times New Roman" w:hAnsi="Times New Roman" w:cs="Times New Roman"/>
        </w:rPr>
        <w:instrText xml:space="preserve"> ADDIN ZOTERO_ITEM CSL_CITATION {"citationID":"JHEtPVES","properties":{"formattedCitation":"(Giedion et al., 2014)","plainCitation":"(Giedion et al., 2014)"},"citationItems":[{"id":1036,"uris":["http://zotero.org/users/1633329/items/2ZQGH95B"],"uri":["http://zotero.org/users/1633329/items/2ZQGH95B"],"itemData":{"id":1036,"type":"book","title":"Health benefit plans in Latin America: a regional comparison","source":"Open WorldCat","ISBN":"978-1-59782-177-3","shortTitle":"Health benefit plans in Latin America","language":"English","author":[{"family":"Giedion","given":"Ursula"},{"family":"Bitran","given":"Ricardo A"},{"family":"Tristao","given":"Ignez"},{"literal":"Inter-American Development Bank"},{"literal":"Social Protection and Health Division"}],"issued":{"date-parts":[["2014"]]}}}],"schema":"https://github.com/citation-style-language/schema/raw/master/csl-citation.json"} </w:instrText>
      </w:r>
      <w:r w:rsidRPr="006B5018">
        <w:rPr>
          <w:rFonts w:ascii="Times New Roman" w:hAnsi="Times New Roman" w:cs="Times New Roman"/>
        </w:rPr>
        <w:fldChar w:fldCharType="separate"/>
      </w:r>
      <w:r w:rsidRPr="006B5018">
        <w:rPr>
          <w:rFonts w:ascii="Times New Roman" w:hAnsi="Times New Roman" w:cs="Times New Roman"/>
          <w:noProof/>
        </w:rPr>
        <w:t>(Giedion et al., 2014)</w:t>
      </w:r>
      <w:r w:rsidRPr="006B5018">
        <w:rPr>
          <w:rFonts w:ascii="Times New Roman" w:hAnsi="Times New Roman" w:cs="Times New Roman"/>
        </w:rPr>
        <w:fldChar w:fldCharType="end"/>
      </w:r>
      <w:r w:rsidRPr="006B5018">
        <w:rPr>
          <w:rFonts w:ascii="Times New Roman" w:hAnsi="Times New Roman" w:cs="Times New Roman"/>
        </w:rPr>
        <w:t>. Everyone who does not have social security or other options for health insurance (i.e. armed forces coverage) is eligible for SIS, however 30% Peruvians remain uninsured (Inter-American Development Bank, 2015).</w:t>
      </w:r>
    </w:p>
    <w:p w14:paraId="3BE4CCC2" w14:textId="77777777" w:rsidR="00EE5E72" w:rsidRPr="006B5018" w:rsidRDefault="00EE5E72" w:rsidP="00EE5E72">
      <w:pPr>
        <w:spacing w:line="480" w:lineRule="auto"/>
        <w:ind w:firstLine="720"/>
        <w:rPr>
          <w:rFonts w:ascii="Times New Roman" w:hAnsi="Times New Roman" w:cs="Times New Roman"/>
        </w:rPr>
      </w:pPr>
      <w:r w:rsidRPr="006B5018">
        <w:rPr>
          <w:rFonts w:ascii="Times New Roman" w:hAnsi="Times New Roman" w:cs="Times New Roman"/>
        </w:rPr>
        <w:t>EsSalud, the national social security</w:t>
      </w:r>
      <w:r>
        <w:rPr>
          <w:rFonts w:ascii="Times New Roman" w:hAnsi="Times New Roman" w:cs="Times New Roman"/>
        </w:rPr>
        <w:t xml:space="preserve"> health insurance</w:t>
      </w:r>
      <w:r w:rsidRPr="006B5018">
        <w:rPr>
          <w:rFonts w:ascii="Times New Roman" w:hAnsi="Times New Roman" w:cs="Times New Roman"/>
        </w:rPr>
        <w:t xml:space="preserve">, is financed by a 9% income-based contribution made by employers </w:t>
      </w:r>
      <w:r w:rsidRPr="006B5018">
        <w:rPr>
          <w:rFonts w:ascii="Times New Roman" w:hAnsi="Times New Roman" w:cs="Times New Roman"/>
        </w:rPr>
        <w:fldChar w:fldCharType="begin"/>
      </w:r>
      <w:r w:rsidRPr="006B5018">
        <w:rPr>
          <w:rFonts w:ascii="Times New Roman" w:hAnsi="Times New Roman" w:cs="Times New Roman"/>
        </w:rPr>
        <w:instrText xml:space="preserve"> ADDIN ZOTERO_ITEM CSL_CITATION {"citationID":"1vbsfgmrj8","properties":{"formattedCitation":"(Escobar, Griffin, Shaw, &amp; Brookings Institution, 2010)","plainCitation":"(Escobar, Griffin, Shaw, &amp; Brookings Institution, 2010)"},"citationItems":[{"id":1040,"uris":["http://zotero.org/users/1633329/items/ATT6ZDRX"],"uri":["http://zotero.org/users/1633329/items/ATT6ZDRX"],"itemData":{"id":1040,"type":"book","title":"Impact of health insurance in low- and middle-income countries","publisher":"Brookings Institution Press","publisher-place":"Washington, D.C","number-of-pages":"221","source":"Library of Congress ISBN","event-place":"Washington, D.C","ISBN":"978-0-8157-0546-8","call-number":"HG9399.D442 I47 2010","editor":[{"family":"Escobar","given":"Maria-Luisa"},{"family":"Griffin","given":"Charles C."},{"family":"Shaw","given":"R. Paul"},{"literal":"Brookings Institution"}],"issued":{"date-parts":[["2010"]]}}}],"schema":"https://github.com/citation-style-language/schema/raw/master/csl-citation.json"} </w:instrText>
      </w:r>
      <w:r w:rsidRPr="006B5018">
        <w:rPr>
          <w:rFonts w:ascii="Times New Roman" w:hAnsi="Times New Roman" w:cs="Times New Roman"/>
        </w:rPr>
        <w:fldChar w:fldCharType="separate"/>
      </w:r>
      <w:r w:rsidRPr="006B5018">
        <w:rPr>
          <w:rFonts w:ascii="Times New Roman" w:hAnsi="Times New Roman" w:cs="Times New Roman"/>
          <w:noProof/>
        </w:rPr>
        <w:t>(Bitrán, Muñoz, &amp; Prieto, 2010)</w:t>
      </w:r>
      <w:r w:rsidRPr="006B5018">
        <w:rPr>
          <w:rFonts w:ascii="Times New Roman" w:hAnsi="Times New Roman" w:cs="Times New Roman"/>
        </w:rPr>
        <w:fldChar w:fldCharType="end"/>
      </w:r>
      <w:r w:rsidRPr="006B5018">
        <w:rPr>
          <w:rFonts w:ascii="Times New Roman" w:hAnsi="Times New Roman" w:cs="Times New Roman"/>
        </w:rPr>
        <w:t>. Formal sector workers</w:t>
      </w:r>
      <w:r>
        <w:rPr>
          <w:rFonts w:ascii="Times New Roman" w:hAnsi="Times New Roman" w:cs="Times New Roman"/>
        </w:rPr>
        <w:t xml:space="preserve"> and retirees </w:t>
      </w:r>
      <w:r w:rsidRPr="006B5018">
        <w:rPr>
          <w:rFonts w:ascii="Times New Roman" w:hAnsi="Times New Roman" w:cs="Times New Roman"/>
        </w:rPr>
        <w:t>make up 75% and 17% of EsSalud beneficiaries, respectively (</w:t>
      </w:r>
      <w:r w:rsidRPr="006B5018">
        <w:rPr>
          <w:rFonts w:ascii="Times New Roman" w:hAnsi="Times New Roman" w:cs="Times New Roman"/>
          <w:noProof/>
        </w:rPr>
        <w:t>Bitrán</w:t>
      </w:r>
      <w:r w:rsidRPr="006B5018">
        <w:rPr>
          <w:rFonts w:ascii="Times New Roman" w:hAnsi="Times New Roman" w:cs="Times New Roman"/>
        </w:rPr>
        <w:t>, et al., 2010). EsSalud is a comprehensive plan, covering 752 diagnoses. EsSalud also administers its own network of clinics and hospitals (</w:t>
      </w:r>
      <w:r w:rsidRPr="006B5018">
        <w:rPr>
          <w:rFonts w:ascii="Times New Roman" w:hAnsi="Times New Roman" w:cs="Times New Roman"/>
          <w:noProof/>
        </w:rPr>
        <w:t>Bitrán</w:t>
      </w:r>
      <w:r w:rsidRPr="006B5018">
        <w:rPr>
          <w:rFonts w:ascii="Times New Roman" w:hAnsi="Times New Roman" w:cs="Times New Roman"/>
        </w:rPr>
        <w:t>, et al., 2010).</w:t>
      </w:r>
    </w:p>
    <w:p w14:paraId="538FFECC" w14:textId="77777777" w:rsidR="00EE5E72" w:rsidRPr="006B5018" w:rsidRDefault="00EE5E72" w:rsidP="00EE5E72">
      <w:pPr>
        <w:spacing w:line="480" w:lineRule="auto"/>
        <w:ind w:firstLine="720"/>
        <w:rPr>
          <w:rFonts w:ascii="Times New Roman" w:hAnsi="Times New Roman" w:cs="Times New Roman"/>
        </w:rPr>
      </w:pPr>
      <w:r w:rsidRPr="006B5018">
        <w:rPr>
          <w:rFonts w:ascii="Times New Roman" w:hAnsi="Times New Roman" w:cs="Times New Roman"/>
        </w:rPr>
        <w:t>MINSA administers the largest network of providers, including hospitals</w:t>
      </w:r>
      <w:r>
        <w:rPr>
          <w:rFonts w:ascii="Times New Roman" w:hAnsi="Times New Roman" w:cs="Times New Roman"/>
        </w:rPr>
        <w:t xml:space="preserve"> that</w:t>
      </w:r>
      <w:r w:rsidRPr="006B5018">
        <w:rPr>
          <w:rFonts w:ascii="Times New Roman" w:hAnsi="Times New Roman" w:cs="Times New Roman"/>
        </w:rPr>
        <w:t xml:space="preserve"> are available to all people, regardless of insurance coverage. MINSA also administers primary care health centers, which serve high density and medium density population areas, and health posts serving rural areas. </w:t>
      </w:r>
      <w:r>
        <w:rPr>
          <w:rFonts w:ascii="Times New Roman" w:hAnsi="Times New Roman" w:cs="Times New Roman"/>
        </w:rPr>
        <w:t>Additionally, the SIS insurance system is</w:t>
      </w:r>
      <w:r w:rsidRPr="006B5018">
        <w:rPr>
          <w:rFonts w:ascii="Times New Roman" w:hAnsi="Times New Roman" w:cs="Times New Roman"/>
        </w:rPr>
        <w:t xml:space="preserve"> managed by MINSA. SIS beneficiaries use MINSA facilities, which are paid an additional reimbursement for providing </w:t>
      </w:r>
      <w:r w:rsidRPr="006B5018">
        <w:rPr>
          <w:rFonts w:ascii="Times New Roman" w:hAnsi="Times New Roman" w:cs="Times New Roman"/>
        </w:rPr>
        <w:lastRenderedPageBreak/>
        <w:t xml:space="preserve">covered services </w:t>
      </w:r>
      <w:r w:rsidRPr="006B5018">
        <w:rPr>
          <w:rFonts w:ascii="Times New Roman" w:hAnsi="Times New Roman" w:cs="Times New Roman"/>
        </w:rPr>
        <w:fldChar w:fldCharType="begin"/>
      </w:r>
      <w:r w:rsidRPr="006B5018">
        <w:rPr>
          <w:rFonts w:ascii="Times New Roman" w:hAnsi="Times New Roman" w:cs="Times New Roman"/>
        </w:rPr>
        <w:instrText xml:space="preserve"> ADDIN ZOTERO_ITEM CSL_CITATION {"citationID":"S9soIBfk","properties":{"formattedCitation":"(Giedion et al., 2014)","plainCitation":"(Giedion et al., 2014)"},"citationItems":[{"id":1036,"uris":["http://zotero.org/users/1633329/items/2ZQGH95B"],"uri":["http://zotero.org/users/1633329/items/2ZQGH95B"],"itemData":{"id":1036,"type":"book","title":"Health benefit plans in Latin America: a regional comparison","source":"Open WorldCat","ISBN":"978-1-59782-177-3","shortTitle":"Health benefit plans in Latin America","language":"English","author":[{"family":"Giedion","given":"Ursula"},{"family":"Bitran","given":"Ricardo A"},{"family":"Tristao","given":"Ignez"},{"literal":"Inter-American Development Bank"},{"literal":"Social Protection and Health Division"}],"issued":{"date-parts":[["2014"]]}}}],"schema":"https://github.com/citation-style-language/schema/raw/master/csl-citation.json"} </w:instrText>
      </w:r>
      <w:r w:rsidRPr="006B5018">
        <w:rPr>
          <w:rFonts w:ascii="Times New Roman" w:hAnsi="Times New Roman" w:cs="Times New Roman"/>
        </w:rPr>
        <w:fldChar w:fldCharType="separate"/>
      </w:r>
      <w:r w:rsidRPr="006B5018">
        <w:rPr>
          <w:rFonts w:ascii="Times New Roman" w:hAnsi="Times New Roman" w:cs="Times New Roman"/>
          <w:noProof/>
        </w:rPr>
        <w:t>(Giedion et al., 2014)</w:t>
      </w:r>
      <w:r w:rsidRPr="006B5018">
        <w:rPr>
          <w:rFonts w:ascii="Times New Roman" w:hAnsi="Times New Roman" w:cs="Times New Roman"/>
        </w:rPr>
        <w:fldChar w:fldCharType="end"/>
      </w:r>
      <w:r w:rsidRPr="006B5018">
        <w:rPr>
          <w:rFonts w:ascii="Times New Roman" w:hAnsi="Times New Roman" w:cs="Times New Roman"/>
        </w:rPr>
        <w:t>. SIS enrollees are categorized by income. People with the lowest incomes receive fully subsidized insurance and others are eligible for semi-contributory plan</w:t>
      </w:r>
      <w:r>
        <w:rPr>
          <w:rFonts w:ascii="Times New Roman" w:hAnsi="Times New Roman" w:cs="Times New Roman"/>
        </w:rPr>
        <w:t>s</w:t>
      </w:r>
      <w:r w:rsidRPr="006B5018">
        <w:rPr>
          <w:rFonts w:ascii="Times New Roman" w:hAnsi="Times New Roman" w:cs="Times New Roman"/>
        </w:rPr>
        <w:t xml:space="preserve"> </w:t>
      </w:r>
      <w:r w:rsidRPr="006B5018">
        <w:rPr>
          <w:rFonts w:ascii="Times New Roman" w:hAnsi="Times New Roman" w:cs="Times New Roman"/>
        </w:rPr>
        <w:fldChar w:fldCharType="begin"/>
      </w:r>
      <w:r w:rsidRPr="006B5018">
        <w:rPr>
          <w:rFonts w:ascii="Times New Roman" w:hAnsi="Times New Roman" w:cs="Times New Roman"/>
        </w:rPr>
        <w:instrText xml:space="preserve"> ADDIN ZOTERO_ITEM CSL_CITATION {"citationID":"p5Ilb99D","properties":{"formattedCitation":"(Francke, 2013)","plainCitation":"(Francke, 2013)"},"citationItems":[{"id":1034,"uris":["http://zotero.org/users/1633329/items/BBEDTPN2"],"uri":["http://zotero.org/users/1633329/items/BBEDTPN2"],"itemData":{"id":1034,"type":"article-journal","title":"UNICO Studies Series 11 Peru's Comprehensive Health Insurance and New Challenges for Universal Coverage","source":"Google Scholar","author":[{"family":"Francke","given":"Pedro"}],"issued":{"date-parts":[["2013"]]}}}],"schema":"https://github.com/citation-style-language/schema/raw/master/csl-citation.json"} </w:instrText>
      </w:r>
      <w:r w:rsidRPr="006B5018">
        <w:rPr>
          <w:rFonts w:ascii="Times New Roman" w:hAnsi="Times New Roman" w:cs="Times New Roman"/>
        </w:rPr>
        <w:fldChar w:fldCharType="separate"/>
      </w:r>
      <w:r w:rsidRPr="006B5018">
        <w:rPr>
          <w:rFonts w:ascii="Times New Roman" w:hAnsi="Times New Roman" w:cs="Times New Roman"/>
          <w:noProof/>
        </w:rPr>
        <w:t>(Francke, 2013)</w:t>
      </w:r>
      <w:r w:rsidRPr="006B5018">
        <w:rPr>
          <w:rFonts w:ascii="Times New Roman" w:hAnsi="Times New Roman" w:cs="Times New Roman"/>
        </w:rPr>
        <w:fldChar w:fldCharType="end"/>
      </w:r>
      <w:r w:rsidRPr="006B5018">
        <w:rPr>
          <w:rFonts w:ascii="Times New Roman" w:hAnsi="Times New Roman" w:cs="Times New Roman"/>
        </w:rPr>
        <w:t>. The non-poor must als</w:t>
      </w:r>
      <w:r>
        <w:rPr>
          <w:rFonts w:ascii="Times New Roman" w:hAnsi="Times New Roman" w:cs="Times New Roman"/>
        </w:rPr>
        <w:t>o pay a fee at enrollment in a</w:t>
      </w:r>
      <w:r w:rsidRPr="006B5018">
        <w:rPr>
          <w:rFonts w:ascii="Times New Roman" w:hAnsi="Times New Roman" w:cs="Times New Roman"/>
        </w:rPr>
        <w:t xml:space="preserve"> semi-contributory plan </w:t>
      </w:r>
      <w:r w:rsidRPr="006B5018">
        <w:rPr>
          <w:rFonts w:ascii="Times New Roman" w:hAnsi="Times New Roman" w:cs="Times New Roman"/>
        </w:rPr>
        <w:fldChar w:fldCharType="begin"/>
      </w:r>
      <w:r w:rsidRPr="006B5018">
        <w:rPr>
          <w:rFonts w:ascii="Times New Roman" w:hAnsi="Times New Roman" w:cs="Times New Roman"/>
        </w:rPr>
        <w:instrText xml:space="preserve"> ADDIN ZOTERO_ITEM CSL_CITATION {"citationID":"Zdema7ly","properties":{"formattedCitation":"(Francke, 2013)","plainCitation":"(Francke, 2013)"},"citationItems":[{"id":1034,"uris":["http://zotero.org/users/1633329/items/BBEDTPN2"],"uri":["http://zotero.org/users/1633329/items/BBEDTPN2"],"itemData":{"id":1034,"type":"article-journal","title":"UNICO Studies Series 11 Peru's Comprehensive Health Insurance and New Challenges for Universal Coverage","source":"Google Scholar","author":[{"family":"Francke","given":"Pedro"}],"issued":{"date-parts":[["2013"]]}}}],"schema":"https://github.com/citation-style-language/schema/raw/master/csl-citation.json"} </w:instrText>
      </w:r>
      <w:r w:rsidRPr="006B5018">
        <w:rPr>
          <w:rFonts w:ascii="Times New Roman" w:hAnsi="Times New Roman" w:cs="Times New Roman"/>
        </w:rPr>
        <w:fldChar w:fldCharType="separate"/>
      </w:r>
      <w:r w:rsidRPr="006B5018">
        <w:rPr>
          <w:rFonts w:ascii="Times New Roman" w:hAnsi="Times New Roman" w:cs="Times New Roman"/>
          <w:noProof/>
        </w:rPr>
        <w:t>(Francke, 2013)</w:t>
      </w:r>
      <w:r w:rsidRPr="006B5018">
        <w:rPr>
          <w:rFonts w:ascii="Times New Roman" w:hAnsi="Times New Roman" w:cs="Times New Roman"/>
        </w:rPr>
        <w:fldChar w:fldCharType="end"/>
      </w:r>
      <w:r w:rsidRPr="006B5018">
        <w:rPr>
          <w:rFonts w:ascii="Times New Roman" w:hAnsi="Times New Roman" w:cs="Times New Roman"/>
        </w:rPr>
        <w:t xml:space="preserve">. Less than 2% of enrollees in SIS pay a contribution </w:t>
      </w:r>
      <w:r w:rsidRPr="006B5018">
        <w:rPr>
          <w:rFonts w:ascii="Times New Roman" w:hAnsi="Times New Roman" w:cs="Times New Roman"/>
        </w:rPr>
        <w:fldChar w:fldCharType="begin"/>
      </w:r>
      <w:r w:rsidRPr="006B5018">
        <w:rPr>
          <w:rFonts w:ascii="Times New Roman" w:hAnsi="Times New Roman" w:cs="Times New Roman"/>
        </w:rPr>
        <w:instrText xml:space="preserve"> ADDIN ZOTERO_ITEM CSL_CITATION {"citationID":"5y1tPpD2","properties":{"formattedCitation":"(Francke, 2013)","plainCitation":"(Francke, 2013)"},"citationItems":[{"id":1034,"uris":["http://zotero.org/users/1633329/items/BBEDTPN2"],"uri":["http://zotero.org/users/1633329/items/BBEDTPN2"],"itemData":{"id":1034,"type":"article-journal","title":"UNICO Studies Series 11 Peru's Comprehensive Health Insurance and New Challenges for Universal Coverage","source":"Google Scholar","author":[{"family":"Francke","given":"Pedro"}],"issued":{"date-parts":[["2013"]]}}}],"schema":"https://github.com/citation-style-language/schema/raw/master/csl-citation.json"} </w:instrText>
      </w:r>
      <w:r w:rsidRPr="006B5018">
        <w:rPr>
          <w:rFonts w:ascii="Times New Roman" w:hAnsi="Times New Roman" w:cs="Times New Roman"/>
        </w:rPr>
        <w:fldChar w:fldCharType="separate"/>
      </w:r>
      <w:r w:rsidRPr="006B5018">
        <w:rPr>
          <w:rFonts w:ascii="Times New Roman" w:hAnsi="Times New Roman" w:cs="Times New Roman"/>
          <w:noProof/>
        </w:rPr>
        <w:t>(Francke, 2013)</w:t>
      </w:r>
      <w:r w:rsidRPr="006B5018">
        <w:rPr>
          <w:rFonts w:ascii="Times New Roman" w:hAnsi="Times New Roman" w:cs="Times New Roman"/>
        </w:rPr>
        <w:fldChar w:fldCharType="end"/>
      </w:r>
      <w:r w:rsidRPr="006B5018">
        <w:rPr>
          <w:rFonts w:ascii="Times New Roman" w:hAnsi="Times New Roman" w:cs="Times New Roman"/>
        </w:rPr>
        <w:t xml:space="preserve">. Once enrolled in SIS, there are no out of pocket costs for patients for covered services. </w:t>
      </w:r>
    </w:p>
    <w:p w14:paraId="562ECD85" w14:textId="77777777" w:rsidR="00EE5E72" w:rsidRPr="006B5018" w:rsidRDefault="00EE5E72" w:rsidP="00EE5E72">
      <w:pPr>
        <w:spacing w:line="480" w:lineRule="auto"/>
        <w:ind w:firstLine="720"/>
        <w:rPr>
          <w:rFonts w:ascii="Times New Roman" w:hAnsi="Times New Roman" w:cs="Times New Roman"/>
        </w:rPr>
      </w:pPr>
      <w:r w:rsidRPr="006B5018">
        <w:rPr>
          <w:rFonts w:ascii="Times New Roman" w:hAnsi="Times New Roman" w:cs="Times New Roman"/>
        </w:rPr>
        <w:t>The health system of Peru has a long way to go before all Peruvians have health insurance. The expansion of SIS resulted in reduced costs to poor people for out of pocket health care expenses, and has improved immunization and growth monitoring for children, and ambulatory care for people of all ages (</w:t>
      </w:r>
      <w:r w:rsidRPr="006B5018">
        <w:rPr>
          <w:rFonts w:ascii="Times New Roman" w:hAnsi="Times New Roman" w:cs="Times New Roman"/>
          <w:noProof/>
        </w:rPr>
        <w:t>Bitrán, 2010). However, up to 30% of Peruvians remain uninsured, and there are inequities in access between urban and rural populations.</w:t>
      </w:r>
      <w:r>
        <w:rPr>
          <w:rFonts w:ascii="Times New Roman" w:hAnsi="Times New Roman" w:cs="Times New Roman"/>
          <w:noProof/>
        </w:rPr>
        <w:t xml:space="preserve"> Hundreds of health conditions are not covered by the basic plans or the catastrophic plans, leaving a wide range of health problems untreated. </w:t>
      </w:r>
    </w:p>
    <w:p w14:paraId="41210336" w14:textId="77777777" w:rsidR="00EE5E72" w:rsidRDefault="00EE5E72">
      <w:r>
        <w:br w:type="page"/>
      </w:r>
    </w:p>
    <w:p w14:paraId="58E4A359" w14:textId="6C16C8C4" w:rsidR="00727D4D" w:rsidRPr="00727D4D" w:rsidRDefault="00727D4D" w:rsidP="009B5FBE">
      <w:pPr>
        <w:spacing w:line="480" w:lineRule="auto"/>
        <w:contextualSpacing/>
        <w:jc w:val="center"/>
      </w:pPr>
      <w:r w:rsidRPr="00727D4D">
        <w:lastRenderedPageBreak/>
        <w:t>References</w:t>
      </w:r>
    </w:p>
    <w:p w14:paraId="63F59526" w14:textId="77777777" w:rsidR="00EE5E72" w:rsidRPr="006B5018" w:rsidRDefault="00EE5E72" w:rsidP="00EE5E72">
      <w:pPr>
        <w:pStyle w:val="Bibliography"/>
        <w:rPr>
          <w:rFonts w:ascii="Times New Roman" w:hAnsi="Times New Roman" w:cs="Times New Roman"/>
        </w:rPr>
      </w:pPr>
      <w:r w:rsidRPr="006B5018">
        <w:rPr>
          <w:rFonts w:ascii="Times New Roman" w:hAnsi="Times New Roman" w:cs="Times New Roman"/>
          <w:noProof/>
        </w:rPr>
        <w:t xml:space="preserve">Bitrán, Muñoz, &amp; Prieto, (2010). Health insurance and access to health service, health services use, and health status in Peru. In </w:t>
      </w:r>
      <w:r w:rsidRPr="006B5018">
        <w:rPr>
          <w:rFonts w:ascii="Times New Roman" w:hAnsi="Times New Roman" w:cs="Times New Roman"/>
        </w:rPr>
        <w:fldChar w:fldCharType="begin"/>
      </w:r>
      <w:r w:rsidRPr="006B5018">
        <w:rPr>
          <w:rFonts w:ascii="Times New Roman" w:hAnsi="Times New Roman" w:cs="Times New Roman"/>
        </w:rPr>
        <w:instrText xml:space="preserve"> ADDIN ZOTERO_BIBL {"custom":[]} CSL_BIBLIOGRAPHY </w:instrText>
      </w:r>
      <w:r w:rsidRPr="006B5018">
        <w:rPr>
          <w:rFonts w:ascii="Times New Roman" w:hAnsi="Times New Roman" w:cs="Times New Roman"/>
        </w:rPr>
        <w:fldChar w:fldCharType="separate"/>
      </w:r>
      <w:r w:rsidRPr="006B5018">
        <w:rPr>
          <w:rFonts w:ascii="Times New Roman" w:hAnsi="Times New Roman" w:cs="Times New Roman"/>
        </w:rPr>
        <w:t xml:space="preserve">Escobar, M.-L., Griffin, C. C., Shaw, R. P., &amp; Brookings Institution (Eds.). (2010). </w:t>
      </w:r>
      <w:r w:rsidRPr="006B5018">
        <w:rPr>
          <w:rFonts w:ascii="Times New Roman" w:hAnsi="Times New Roman" w:cs="Times New Roman"/>
          <w:i/>
          <w:iCs/>
        </w:rPr>
        <w:t>Impact of health insurance in low- and middle-income countries</w:t>
      </w:r>
      <w:r>
        <w:rPr>
          <w:rFonts w:ascii="Times New Roman" w:hAnsi="Times New Roman" w:cs="Times New Roman"/>
        </w:rPr>
        <w:t xml:space="preserve"> (pp. 106-121).</w:t>
      </w:r>
      <w:r w:rsidRPr="006B5018">
        <w:rPr>
          <w:rFonts w:ascii="Times New Roman" w:hAnsi="Times New Roman" w:cs="Times New Roman"/>
        </w:rPr>
        <w:t xml:space="preserve"> Washington, D.C: Brookings Institution Press.</w:t>
      </w:r>
    </w:p>
    <w:p w14:paraId="5F67BD80" w14:textId="77777777" w:rsidR="00EE5E72" w:rsidRPr="006B5018" w:rsidRDefault="00EE5E72" w:rsidP="00EE5E72">
      <w:pPr>
        <w:pStyle w:val="Bibliography"/>
        <w:rPr>
          <w:rFonts w:ascii="Times New Roman" w:hAnsi="Times New Roman" w:cs="Times New Roman"/>
        </w:rPr>
      </w:pPr>
      <w:r>
        <w:rPr>
          <w:rFonts w:ascii="Times New Roman" w:hAnsi="Times New Roman" w:cs="Times New Roman"/>
        </w:rPr>
        <w:t xml:space="preserve">Francke, P. (2013). </w:t>
      </w:r>
      <w:r w:rsidRPr="00E71078">
        <w:rPr>
          <w:rFonts w:ascii="Times New Roman" w:hAnsi="Times New Roman" w:cs="Times New Roman"/>
          <w:i/>
        </w:rPr>
        <w:t>Universal Health Coverage Study Series (UNICO) 11: Peru’s comprehensive health insurance and new challenges for universal coverage.</w:t>
      </w:r>
      <w:r>
        <w:rPr>
          <w:rFonts w:ascii="Times New Roman" w:hAnsi="Times New Roman" w:cs="Times New Roman"/>
        </w:rPr>
        <w:t xml:space="preserve"> </w:t>
      </w:r>
    </w:p>
    <w:p w14:paraId="29DDCA84" w14:textId="77777777" w:rsidR="00EE5E72" w:rsidRPr="006B5018" w:rsidRDefault="00EE5E72" w:rsidP="00EE5E72">
      <w:pPr>
        <w:pStyle w:val="Bibliography"/>
        <w:rPr>
          <w:rFonts w:ascii="Times New Roman" w:hAnsi="Times New Roman" w:cs="Times New Roman"/>
        </w:rPr>
      </w:pPr>
      <w:r w:rsidRPr="006B5018">
        <w:rPr>
          <w:rFonts w:ascii="Times New Roman" w:hAnsi="Times New Roman" w:cs="Times New Roman"/>
        </w:rPr>
        <w:t>Giedion,</w:t>
      </w:r>
      <w:r>
        <w:rPr>
          <w:rFonts w:ascii="Times New Roman" w:hAnsi="Times New Roman" w:cs="Times New Roman"/>
        </w:rPr>
        <w:t xml:space="preserve"> U., Bitran, R. A., &amp; Tristao, I</w:t>
      </w:r>
      <w:r w:rsidRPr="006B5018">
        <w:rPr>
          <w:rFonts w:ascii="Times New Roman" w:hAnsi="Times New Roman" w:cs="Times New Roman"/>
        </w:rPr>
        <w:t xml:space="preserve">. (2014). </w:t>
      </w:r>
      <w:r w:rsidRPr="006B5018">
        <w:rPr>
          <w:rFonts w:ascii="Times New Roman" w:hAnsi="Times New Roman" w:cs="Times New Roman"/>
          <w:i/>
          <w:iCs/>
        </w:rPr>
        <w:t>Health benefit plans in Latin America: a regional comparison</w:t>
      </w:r>
      <w:r w:rsidRPr="006B5018">
        <w:rPr>
          <w:rFonts w:ascii="Times New Roman" w:hAnsi="Times New Roman" w:cs="Times New Roman"/>
        </w:rPr>
        <w:t>.</w:t>
      </w:r>
    </w:p>
    <w:p w14:paraId="3CAEFCD3" w14:textId="77777777" w:rsidR="00EE5E72" w:rsidRPr="00AE40CB" w:rsidRDefault="00EE5E72" w:rsidP="00EE5E72">
      <w:pPr>
        <w:pStyle w:val="Bibliography"/>
        <w:rPr>
          <w:rFonts w:ascii="Times New Roman" w:hAnsi="Times New Roman" w:cs="Times New Roman"/>
          <w:bCs/>
        </w:rPr>
      </w:pPr>
      <w:r>
        <w:rPr>
          <w:rFonts w:ascii="Times New Roman" w:hAnsi="Times New Roman" w:cs="Times New Roman"/>
        </w:rPr>
        <w:t xml:space="preserve">Inter-American Development Bank. (2015, November 19). </w:t>
      </w:r>
      <w:r w:rsidRPr="00AE40CB">
        <w:rPr>
          <w:rFonts w:ascii="Times New Roman" w:hAnsi="Times New Roman" w:cs="Times New Roman"/>
          <w:bCs/>
          <w:i/>
        </w:rPr>
        <w:t>Peru modernizes management to improve universal coverage of health services with IDB support.</w:t>
      </w:r>
      <w:r>
        <w:rPr>
          <w:rFonts w:ascii="Times New Roman" w:hAnsi="Times New Roman" w:cs="Times New Roman"/>
          <w:bCs/>
        </w:rPr>
        <w:t xml:space="preserve"> Retrieved from </w:t>
      </w:r>
      <w:r w:rsidRPr="00AE40CB">
        <w:rPr>
          <w:rFonts w:ascii="Times New Roman" w:hAnsi="Times New Roman" w:cs="Times New Roman"/>
          <w:bCs/>
        </w:rPr>
        <w:t>http://www.iadb.org/en/news/news-releases/2015-11-19/universal-health-coverage-peru,11325.html</w:t>
      </w:r>
    </w:p>
    <w:p w14:paraId="20260073" w14:textId="77777777" w:rsidR="00EE5E72" w:rsidRPr="006B5018" w:rsidRDefault="00EE5E72" w:rsidP="00EE5E72">
      <w:pPr>
        <w:pStyle w:val="Bibliography"/>
        <w:rPr>
          <w:rFonts w:ascii="Times New Roman" w:hAnsi="Times New Roman" w:cs="Times New Roman"/>
        </w:rPr>
      </w:pPr>
      <w:r w:rsidRPr="006B5018">
        <w:rPr>
          <w:rFonts w:ascii="Times New Roman" w:hAnsi="Times New Roman" w:cs="Times New Roman"/>
        </w:rPr>
        <w:t>Seinfeld, J., Montañez</w:t>
      </w:r>
      <w:r>
        <w:rPr>
          <w:rFonts w:ascii="Times New Roman" w:hAnsi="Times New Roman" w:cs="Times New Roman"/>
        </w:rPr>
        <w:t>, V., &amp; Besich, N. (2013). The health insurance system in Peru: Towards a universal health i</w:t>
      </w:r>
      <w:r w:rsidRPr="006B5018">
        <w:rPr>
          <w:rFonts w:ascii="Times New Roman" w:hAnsi="Times New Roman" w:cs="Times New Roman"/>
        </w:rPr>
        <w:t xml:space="preserve">nsurance. </w:t>
      </w:r>
      <w:r w:rsidRPr="006B5018">
        <w:rPr>
          <w:rFonts w:ascii="Times New Roman" w:hAnsi="Times New Roman" w:cs="Times New Roman"/>
          <w:i/>
          <w:iCs/>
        </w:rPr>
        <w:t>Global Development Network</w:t>
      </w:r>
      <w:r w:rsidRPr="006B5018">
        <w:rPr>
          <w:rFonts w:ascii="Times New Roman" w:hAnsi="Times New Roman" w:cs="Times New Roman"/>
        </w:rPr>
        <w:t>. Retrieved from http://coopami.org/en/countries/countries/Peru/social_protection/pdf/social_protection02.pdf</w:t>
      </w:r>
    </w:p>
    <w:p w14:paraId="6CEBEE6D" w14:textId="77777777" w:rsidR="00EE5E72" w:rsidRPr="006B5018" w:rsidRDefault="00EE5E72" w:rsidP="00EE5E72">
      <w:pPr>
        <w:spacing w:line="480" w:lineRule="auto"/>
        <w:ind w:left="720" w:hanging="720"/>
        <w:rPr>
          <w:rFonts w:ascii="Times New Roman" w:hAnsi="Times New Roman" w:cs="Times New Roman"/>
        </w:rPr>
      </w:pPr>
      <w:r w:rsidRPr="006B5018">
        <w:rPr>
          <w:rFonts w:ascii="Times New Roman" w:hAnsi="Times New Roman" w:cs="Times New Roman"/>
        </w:rPr>
        <w:t xml:space="preserve">World Health Organization. (2016). </w:t>
      </w:r>
      <w:r w:rsidRPr="00E71078">
        <w:rPr>
          <w:rFonts w:ascii="Times New Roman" w:hAnsi="Times New Roman" w:cs="Times New Roman"/>
          <w:i/>
        </w:rPr>
        <w:t>Global health workforce alliance: Peru.</w:t>
      </w:r>
      <w:r w:rsidRPr="006B5018">
        <w:rPr>
          <w:rFonts w:ascii="Times New Roman" w:hAnsi="Times New Roman" w:cs="Times New Roman"/>
        </w:rPr>
        <w:t xml:space="preserve"> Retrieved from http://www.who.int/workforcealliance/countries/per/en/</w:t>
      </w:r>
    </w:p>
    <w:p w14:paraId="0F6048D1" w14:textId="444850E7" w:rsidR="00243A87" w:rsidRDefault="00EE5E72" w:rsidP="00EE5E72">
      <w:pPr>
        <w:spacing w:line="480" w:lineRule="auto"/>
        <w:ind w:left="720" w:hanging="720"/>
        <w:contextualSpacing/>
        <w:rPr>
          <w:rFonts w:ascii="Times New Roman" w:hAnsi="Times New Roman" w:cs="Times New Roman"/>
        </w:rPr>
      </w:pPr>
      <w:r w:rsidRPr="006B5018">
        <w:rPr>
          <w:rFonts w:ascii="Times New Roman" w:hAnsi="Times New Roman" w:cs="Times New Roman"/>
        </w:rPr>
        <w:fldChar w:fldCharType="end"/>
      </w:r>
    </w:p>
    <w:p w14:paraId="25547EFE" w14:textId="77777777" w:rsidR="00243A87" w:rsidRDefault="00243A87">
      <w:pPr>
        <w:rPr>
          <w:rFonts w:ascii="Times New Roman" w:hAnsi="Times New Roman" w:cs="Times New Roman"/>
        </w:rPr>
      </w:pPr>
      <w:r>
        <w:rPr>
          <w:rFonts w:ascii="Times New Roman" w:hAnsi="Times New Roman" w:cs="Times New Roman"/>
        </w:rPr>
        <w:br w:type="page"/>
      </w:r>
    </w:p>
    <w:p w14:paraId="3AE22F1B" w14:textId="77777777" w:rsidR="00243A87" w:rsidRDefault="00243A87" w:rsidP="00243A87">
      <w:pPr>
        <w:pStyle w:val="Bibliography"/>
        <w:jc w:val="center"/>
        <w:rPr>
          <w:i/>
        </w:rPr>
      </w:pPr>
      <w:r>
        <w:rPr>
          <w:i/>
        </w:rPr>
        <w:lastRenderedPageBreak/>
        <w:t>Romania’s Health System</w:t>
      </w:r>
    </w:p>
    <w:p w14:paraId="1236005E" w14:textId="77777777" w:rsidR="00243A87" w:rsidRDefault="00243A87" w:rsidP="00243A87">
      <w:pPr>
        <w:pStyle w:val="Bibliography"/>
        <w:jc w:val="center"/>
      </w:pPr>
      <w:r>
        <w:t>Angela Spencer, MBA</w:t>
      </w:r>
    </w:p>
    <w:p w14:paraId="3CB8DCA8" w14:textId="77777777" w:rsidR="00243A87" w:rsidRDefault="00243A87" w:rsidP="00243A87">
      <w:pPr>
        <w:pStyle w:val="Bibliography"/>
        <w:jc w:val="center"/>
      </w:pPr>
      <w:r>
        <w:t xml:space="preserve">Portland State University </w:t>
      </w:r>
    </w:p>
    <w:p w14:paraId="1AF5EFF3" w14:textId="77777777" w:rsidR="00243A87" w:rsidRDefault="00243A87" w:rsidP="00243A87">
      <w:pPr>
        <w:pStyle w:val="Bibliography"/>
        <w:jc w:val="center"/>
      </w:pPr>
      <w:r>
        <w:t>April 11, 2016</w:t>
      </w:r>
    </w:p>
    <w:p w14:paraId="68030BBA" w14:textId="77777777" w:rsidR="00243A87" w:rsidRDefault="00243A87" w:rsidP="00243A87">
      <w:pPr>
        <w:jc w:val="center"/>
      </w:pPr>
    </w:p>
    <w:p w14:paraId="57E5BF3A" w14:textId="77777777" w:rsidR="00243A87" w:rsidRDefault="00243A87" w:rsidP="00243A87">
      <w:pPr>
        <w:rPr>
          <w:rFonts w:ascii="Times New Roman" w:hAnsi="Times New Roman" w:cs="Times New Roman"/>
        </w:rPr>
      </w:pPr>
      <w:r>
        <w:rPr>
          <w:rFonts w:ascii="Times New Roman" w:hAnsi="Times New Roman" w:cs="Times New Roman"/>
        </w:rPr>
        <w:br w:type="page"/>
      </w:r>
    </w:p>
    <w:p w14:paraId="23E5FA0D" w14:textId="77777777" w:rsidR="00243A87" w:rsidRDefault="00243A87" w:rsidP="00243A87">
      <w:pPr>
        <w:spacing w:line="480" w:lineRule="auto"/>
        <w:ind w:firstLine="720"/>
        <w:rPr>
          <w:rFonts w:ascii="Times New Roman" w:hAnsi="Times New Roman" w:cs="Times New Roman"/>
        </w:rPr>
      </w:pPr>
      <w:r>
        <w:rPr>
          <w:rFonts w:ascii="Times New Roman" w:hAnsi="Times New Roman" w:cs="Times New Roman"/>
        </w:rPr>
        <w:lastRenderedPageBreak/>
        <w:t>Romania has a universal healthcare system, with mandatory social health insurance. Romania raked 32</w:t>
      </w:r>
      <w:r>
        <w:rPr>
          <w:rFonts w:ascii="Times New Roman" w:hAnsi="Times New Roman" w:cs="Times New Roman"/>
          <w:vertAlign w:val="superscript"/>
        </w:rPr>
        <w:t>nd</w:t>
      </w:r>
      <w:r>
        <w:rPr>
          <w:rFonts w:ascii="Times New Roman" w:hAnsi="Times New Roman" w:cs="Times New Roman"/>
        </w:rPr>
        <w:t xml:space="preserve"> out of 35 countries (Bosnia and Herzegovina was not ranked) in the European Health Consumer Index (Health Consumer Powerhouse, 2016), due to “severe problems with the management of its entire public sector.” The 1989 revolution in Romania ushered in dramatic changes in every sector of public life as the country shifted from a communist system to a democratic republic. Since 1989, the population has declined due to emigration, decreased birth rate, and increased mortality (Vlădescu, Scîntee, Olsavszky, Allin, &amp; Mladovsky, 2008). Health care was decentralized between 1989 and 1998. Pre-revolution, Romania had a Shemasko model of health care, which was highly centralized and regulated (Ianole, Druică, &amp; Cornescu, 2014). The current system is a national social insurance system with “contractual relationships between purchasers, the health insurance funds, and providers (Vlădescu, et al., 2008).”</w:t>
      </w:r>
    </w:p>
    <w:p w14:paraId="48B6805E" w14:textId="77777777" w:rsidR="00243A87" w:rsidRDefault="00243A87" w:rsidP="00243A87">
      <w:pPr>
        <w:spacing w:line="480" w:lineRule="auto"/>
        <w:ind w:firstLine="720"/>
        <w:rPr>
          <w:rFonts w:ascii="Times New Roman" w:hAnsi="Times New Roman" w:cs="Times New Roman"/>
        </w:rPr>
      </w:pPr>
      <w:r>
        <w:rPr>
          <w:rFonts w:ascii="Times New Roman" w:hAnsi="Times New Roman" w:cs="Times New Roman"/>
        </w:rPr>
        <w:t>The Ministry of Public Health serves a regulatory and policy function, as well as responsibility for public health campaigns. The National Health Insurance Fund (NHIF) receives funds collected from the Ministry of Finance to administer and regulate the health insurance system, and pay for contracted health services from private and public providers via 42 District Health Insurance Funds (DHIFs) (Vlădescu, et al., 2008). DHIFs are financed primarily via tax contributions from employers and employees. Members of the military, people in penitentiaries, people on maternity leave, children, people with disabilities, and students aged 18-26, and a few other special groups are exempt from having to contribute to the health insurance fund (Vlădescu, et al., 2008). External funds from sources such as the World Bank, United States Agency for International Development, and United Nations Children’s Fund also finance health services in Romania.</w:t>
      </w:r>
    </w:p>
    <w:p w14:paraId="1C67601B" w14:textId="77777777" w:rsidR="00243A87" w:rsidRDefault="00243A87" w:rsidP="00243A87">
      <w:pPr>
        <w:spacing w:line="480" w:lineRule="auto"/>
        <w:ind w:firstLine="720"/>
        <w:rPr>
          <w:rFonts w:ascii="Times New Roman" w:hAnsi="Times New Roman" w:cs="Times New Roman"/>
        </w:rPr>
      </w:pPr>
      <w:r>
        <w:rPr>
          <w:rFonts w:ascii="Times New Roman" w:hAnsi="Times New Roman" w:cs="Times New Roman"/>
        </w:rPr>
        <w:lastRenderedPageBreak/>
        <w:t xml:space="preserve">According to Vlădescu, et al., NHIF health insurance covers, “preventive health care services, ambulatory health care, hospital care, dentistry services, medical emergency services, complementary, medical rehabilitation services, pre-, intra- and post-birth medical assistance, home care nursing, drugs, health care materials, and orthopaedic devices (2008).” The National Insurance Fund for Work Accidents and Occupational Diseases provides additional coverage for certain groups (Vlădescu, et al., 2008). Private supplemental and/or complementary coverage is also available and private facilities exist for those who can pay out of pocket. DHIFs contract with primary and secondary health services providers acting under contract as independent practitioners. Prior to health care reforms in the late 1990s, the majority of health care providers were publicly employed. Today, only hospitals remain public institutions (Vlădescu, et al., 2008). Informal payments have a long history in Romanian culture, and are estimated to account for a significant proportion of out-of-pocket expenditures (Vlădescu, et al., 2008). In 2010, a copayment system was introduced in an attempt to infuse funds into the ailing healthcare sector, and to reduce the prevalence of bribes being taken by providers (Holt, 2010). </w:t>
      </w:r>
    </w:p>
    <w:p w14:paraId="44DEAA00" w14:textId="77777777" w:rsidR="00243A87" w:rsidRDefault="00243A87" w:rsidP="00243A87">
      <w:pPr>
        <w:spacing w:line="480" w:lineRule="auto"/>
        <w:ind w:firstLine="720"/>
        <w:rPr>
          <w:rFonts w:ascii="Times New Roman" w:hAnsi="Times New Roman" w:cs="Times New Roman"/>
        </w:rPr>
      </w:pPr>
      <w:r>
        <w:rPr>
          <w:rFonts w:ascii="Times New Roman" w:hAnsi="Times New Roman" w:cs="Times New Roman"/>
        </w:rPr>
        <w:t>The global financial crisis stymied financial growth and increased Romania’s deficit (World Bank, 2014). The country is plagued with lack of modern equipment and medical facilities. Health outcomes are among the poorest in the European Union. In 2010, Romania had more than twice the EU average infant mortality rate (World Bank, 2014). Life expectancy has declined over the last 50 years, and Romania is lagging behind other EU countries on multiple health outcomes, including infant mortality, cardiovascular disease death rates, and smoking-related death rates (World Bank, 2014). Preventative services are under-utilized, hospital services are over-utilized, and access to quality health care is highly variable (World Bank, 2014).</w:t>
      </w:r>
    </w:p>
    <w:p w14:paraId="2D2C92B3" w14:textId="77777777" w:rsidR="00243A87" w:rsidRDefault="00243A87" w:rsidP="00243A87">
      <w:pPr>
        <w:spacing w:line="480" w:lineRule="auto"/>
        <w:ind w:firstLine="720"/>
        <w:rPr>
          <w:rFonts w:ascii="Times New Roman" w:hAnsi="Times New Roman" w:cs="Times New Roman"/>
        </w:rPr>
      </w:pPr>
      <w:r>
        <w:rPr>
          <w:rFonts w:ascii="Times New Roman" w:hAnsi="Times New Roman" w:cs="Times New Roman"/>
        </w:rPr>
        <w:lastRenderedPageBreak/>
        <w:t xml:space="preserve">Romania is also suffering from an exodus of health care providers. According to the president of the Romanian College of Physicians, the number of doctors working in Romanian hospitals dropped from 21,400 in 2011 to 14,400 in 2013 (Gillet &amp; Taylor, 2014). Doctors, nurses, and specialists can make higher wages in other countries. Despite the promise of universal health coverage, Romania’s health care system is lagging behind in a number of key indicators, and there are regional shortages in health care providers and facilities (World Health Organization, 2012).  </w:t>
      </w:r>
    </w:p>
    <w:p w14:paraId="2204A88F" w14:textId="77777777" w:rsidR="00243A87" w:rsidRDefault="00243A87" w:rsidP="00243A87">
      <w:pPr>
        <w:tabs>
          <w:tab w:val="left" w:pos="3735"/>
        </w:tabs>
      </w:pPr>
      <w:r>
        <w:tab/>
      </w:r>
    </w:p>
    <w:p w14:paraId="27C32D06" w14:textId="77777777" w:rsidR="00243A87" w:rsidRDefault="00243A87" w:rsidP="00243A87">
      <w:pPr>
        <w:tabs>
          <w:tab w:val="left" w:pos="3735"/>
        </w:tabs>
      </w:pPr>
      <w:r>
        <w:br w:type="page"/>
      </w:r>
      <w:r>
        <w:lastRenderedPageBreak/>
        <w:tab/>
      </w:r>
    </w:p>
    <w:p w14:paraId="05A30611" w14:textId="77777777" w:rsidR="00243A87" w:rsidRDefault="00243A87" w:rsidP="00243A87">
      <w:pPr>
        <w:spacing w:line="480" w:lineRule="auto"/>
        <w:jc w:val="center"/>
      </w:pPr>
      <w:r>
        <w:t>References</w:t>
      </w:r>
    </w:p>
    <w:p w14:paraId="5A2C6735" w14:textId="77777777" w:rsidR="00243A87" w:rsidRDefault="00243A87" w:rsidP="00243A87">
      <w:pPr>
        <w:spacing w:line="480" w:lineRule="auto"/>
        <w:ind w:left="720" w:hanging="720"/>
      </w:pPr>
      <w:r>
        <w:t xml:space="preserve">Gillet, K., &amp; Taylor, M. (2014, February 7). Romanian health service in crisis as doctors leave for UK and other states. </w:t>
      </w:r>
      <w:r>
        <w:rPr>
          <w:i/>
        </w:rPr>
        <w:t>The Guardian.</w:t>
      </w:r>
      <w:r>
        <w:t xml:space="preserve"> Retrieved from http://www.theguardian.com/world/2014/feb/07/romanian-health-service-crisis-doctors-uk</w:t>
      </w:r>
    </w:p>
    <w:p w14:paraId="74803C75" w14:textId="77777777" w:rsidR="00243A87" w:rsidRDefault="00243A87" w:rsidP="00243A87">
      <w:pPr>
        <w:spacing w:line="480" w:lineRule="auto"/>
        <w:ind w:left="720" w:hanging="720"/>
      </w:pPr>
      <w:r>
        <w:t xml:space="preserve">Health Consumer Powerhouse. (2016). </w:t>
      </w:r>
      <w:r>
        <w:rPr>
          <w:i/>
        </w:rPr>
        <w:t>Euro consumer health index 2015 report.</w:t>
      </w:r>
      <w:r>
        <w:t xml:space="preserve"> Retrieved from http://www.healthpowerhouse.com/files/EHCI_2015/EHCI_2015_report.pdf</w:t>
      </w:r>
    </w:p>
    <w:p w14:paraId="769C5D65" w14:textId="77777777" w:rsidR="00243A87" w:rsidRDefault="00243A87" w:rsidP="00243A87">
      <w:pPr>
        <w:spacing w:line="480" w:lineRule="auto"/>
        <w:ind w:left="720" w:hanging="720"/>
      </w:pPr>
      <w:r>
        <w:t xml:space="preserve">Holt, E. (2010). Romania's health system lurches into new crisis. </w:t>
      </w:r>
      <w:r>
        <w:rPr>
          <w:i/>
          <w:iCs/>
        </w:rPr>
        <w:t>The Lancet</w:t>
      </w:r>
      <w:r>
        <w:t xml:space="preserve">, </w:t>
      </w:r>
      <w:r>
        <w:rPr>
          <w:i/>
          <w:iCs/>
        </w:rPr>
        <w:t xml:space="preserve">376 </w:t>
      </w:r>
      <w:r>
        <w:t>(9748), 1211-1212.</w:t>
      </w:r>
    </w:p>
    <w:p w14:paraId="67B7E67F" w14:textId="77777777" w:rsidR="00243A87" w:rsidRDefault="00243A87" w:rsidP="00243A87">
      <w:pPr>
        <w:spacing w:line="480" w:lineRule="auto"/>
        <w:ind w:left="720" w:hanging="720"/>
        <w:rPr>
          <w:rFonts w:ascii="Times" w:eastAsia="Times New Roman" w:hAnsi="Times" w:cs="Times New Roman"/>
        </w:rPr>
      </w:pPr>
      <w:r>
        <w:rPr>
          <w:rFonts w:ascii="Times" w:eastAsia="Times New Roman" w:hAnsi="Times" w:cs="Times New Roman"/>
        </w:rPr>
        <w:t xml:space="preserve">Ianole, R., Druică, E., &amp; Cornescu, V. (2014). Health knowledge and health consumption in the Romanian society. </w:t>
      </w:r>
      <w:r>
        <w:rPr>
          <w:rFonts w:ascii="Times" w:eastAsia="Times New Roman" w:hAnsi="Times" w:cs="Times New Roman"/>
          <w:i/>
          <w:iCs/>
        </w:rPr>
        <w:t>Procedia Economics and Finance</w:t>
      </w:r>
      <w:r>
        <w:rPr>
          <w:rFonts w:ascii="Times" w:eastAsia="Times New Roman" w:hAnsi="Times" w:cs="Times New Roman"/>
        </w:rPr>
        <w:t xml:space="preserve">, </w:t>
      </w:r>
      <w:r>
        <w:rPr>
          <w:rFonts w:ascii="Times" w:eastAsia="Times New Roman" w:hAnsi="Times" w:cs="Times New Roman"/>
          <w:i/>
          <w:iCs/>
        </w:rPr>
        <w:t>8</w:t>
      </w:r>
      <w:r>
        <w:rPr>
          <w:rFonts w:ascii="Times" w:eastAsia="Times New Roman" w:hAnsi="Times" w:cs="Times New Roman"/>
        </w:rPr>
        <w:t>, 388-396.</w:t>
      </w:r>
    </w:p>
    <w:p w14:paraId="15128B41" w14:textId="77777777" w:rsidR="00243A87" w:rsidRDefault="00243A87" w:rsidP="00243A87">
      <w:pPr>
        <w:spacing w:line="480" w:lineRule="auto"/>
        <w:ind w:left="720" w:hanging="720"/>
      </w:pPr>
      <w:r>
        <w:t xml:space="preserve">World Bank. (2014). </w:t>
      </w:r>
      <w:r>
        <w:rPr>
          <w:i/>
        </w:rPr>
        <w:t>Project appraisal document on a proposed loan in the amount of 250 million Euro to Romania for a health sector reform – Improving health system quality and efficiency project (P145174).</w:t>
      </w:r>
      <w:r>
        <w:t xml:space="preserve"> </w:t>
      </w:r>
    </w:p>
    <w:p w14:paraId="0374EC6C" w14:textId="77777777" w:rsidR="00243A87" w:rsidRDefault="00243A87" w:rsidP="00243A87">
      <w:pPr>
        <w:spacing w:line="480" w:lineRule="auto"/>
        <w:ind w:left="720" w:hanging="720"/>
      </w:pPr>
      <w:r>
        <w:t xml:space="preserve">World Health Organization. (2012). </w:t>
      </w:r>
      <w:r>
        <w:rPr>
          <w:i/>
        </w:rPr>
        <w:t>Evaluation of structure and provision of primary care in Romania: A survey based project.</w:t>
      </w:r>
      <w:r>
        <w:t xml:space="preserve"> </w:t>
      </w:r>
    </w:p>
    <w:p w14:paraId="379E9A5D" w14:textId="77777777" w:rsidR="00243A87" w:rsidRDefault="00243A87" w:rsidP="00243A87">
      <w:pPr>
        <w:spacing w:line="480" w:lineRule="auto"/>
        <w:ind w:left="720" w:hanging="720"/>
        <w:rPr>
          <w:i/>
        </w:rPr>
      </w:pPr>
      <w:r>
        <w:t xml:space="preserve">Vlădescu C, Scîntee G, Olsavszky V, Allin S and Mladovsky P. (2008). </w:t>
      </w:r>
      <w:r>
        <w:rPr>
          <w:i/>
        </w:rPr>
        <w:t>Romania: Health system review. Health systems in transition</w:t>
      </w:r>
      <w:r>
        <w:t>. Retrieved from http://old.hpi.sk/cdata/Documents/HIT/Romania_2008.pdf</w:t>
      </w:r>
    </w:p>
    <w:p w14:paraId="5A94C54A" w14:textId="77777777" w:rsidR="00243A87" w:rsidRDefault="00243A87" w:rsidP="00243A87">
      <w:pPr>
        <w:pStyle w:val="Bibliography"/>
      </w:pPr>
    </w:p>
    <w:p w14:paraId="0D83C067" w14:textId="77777777" w:rsidR="00243A87" w:rsidRDefault="00243A87" w:rsidP="00243A87">
      <w:pPr>
        <w:pStyle w:val="Bibliography"/>
        <w:jc w:val="center"/>
      </w:pPr>
    </w:p>
    <w:p w14:paraId="1278F421" w14:textId="77777777" w:rsidR="00243A87" w:rsidRDefault="00243A87" w:rsidP="00243A87"/>
    <w:p w14:paraId="453A5F1E" w14:textId="77777777" w:rsidR="00243A87" w:rsidRDefault="00243A87" w:rsidP="00243A87"/>
    <w:p w14:paraId="6B5FE686" w14:textId="77777777" w:rsidR="00243A87" w:rsidRDefault="00243A87" w:rsidP="00243A87"/>
    <w:p w14:paraId="591BA0B5" w14:textId="77777777" w:rsidR="00243A87" w:rsidRDefault="00243A87" w:rsidP="00243A87"/>
    <w:p w14:paraId="13F12DAD" w14:textId="77777777" w:rsidR="00243A87" w:rsidRDefault="00243A87" w:rsidP="00243A87">
      <w:pPr>
        <w:pStyle w:val="Bibliography"/>
        <w:jc w:val="center"/>
        <w:rPr>
          <w:i/>
        </w:rPr>
      </w:pPr>
      <w:r>
        <w:rPr>
          <w:i/>
        </w:rPr>
        <w:t>Rwanda’s Health System</w:t>
      </w:r>
    </w:p>
    <w:p w14:paraId="26720B3C" w14:textId="77777777" w:rsidR="00243A87" w:rsidRDefault="00243A87" w:rsidP="00243A87">
      <w:pPr>
        <w:pStyle w:val="Bibliography"/>
        <w:jc w:val="center"/>
      </w:pPr>
      <w:r>
        <w:t>Angela Spencer, MBA</w:t>
      </w:r>
    </w:p>
    <w:p w14:paraId="0025B7EB" w14:textId="77777777" w:rsidR="00243A87" w:rsidRDefault="00243A87" w:rsidP="00243A87">
      <w:pPr>
        <w:pStyle w:val="Bibliography"/>
        <w:jc w:val="center"/>
      </w:pPr>
      <w:r>
        <w:t xml:space="preserve">Portland State University </w:t>
      </w:r>
    </w:p>
    <w:p w14:paraId="420D71E9" w14:textId="77777777" w:rsidR="00243A87" w:rsidRDefault="00243A87" w:rsidP="00243A87">
      <w:pPr>
        <w:pStyle w:val="Bibliography"/>
        <w:jc w:val="center"/>
      </w:pPr>
      <w:r>
        <w:t>April 11, 2016</w:t>
      </w:r>
    </w:p>
    <w:p w14:paraId="18D7D2B0" w14:textId="77777777" w:rsidR="00243A87" w:rsidRDefault="00243A87" w:rsidP="00243A87">
      <w:pPr>
        <w:jc w:val="center"/>
      </w:pPr>
    </w:p>
    <w:p w14:paraId="2ABA600A" w14:textId="77777777" w:rsidR="00243A87" w:rsidRDefault="00243A87" w:rsidP="00243A87">
      <w:pPr>
        <w:rPr>
          <w:rFonts w:ascii="Times New Roman" w:hAnsi="Times New Roman" w:cs="Times New Roman"/>
        </w:rPr>
      </w:pPr>
      <w:r>
        <w:rPr>
          <w:rFonts w:ascii="Times New Roman" w:hAnsi="Times New Roman" w:cs="Times New Roman"/>
        </w:rPr>
        <w:br w:type="page"/>
      </w:r>
    </w:p>
    <w:p w14:paraId="4B0318A7" w14:textId="77777777" w:rsidR="00243A87" w:rsidRDefault="00243A87" w:rsidP="00243A87">
      <w:pPr>
        <w:spacing w:line="480" w:lineRule="auto"/>
        <w:ind w:firstLine="720"/>
        <w:rPr>
          <w:rFonts w:ascii="Times New Roman" w:hAnsi="Times New Roman" w:cs="Times New Roman"/>
        </w:rPr>
      </w:pPr>
      <w:r>
        <w:rPr>
          <w:rFonts w:ascii="Times New Roman" w:hAnsi="Times New Roman" w:cs="Times New Roman"/>
        </w:rPr>
        <w:lastRenderedPageBreak/>
        <w:t xml:space="preserve">The 1994 Rwandan genocide disrupted every aspect of social structure. Since then, the country has made enormous strides in rebuilding their health system and economy. In 1996, the Vision 2020 plan was adopted by the government of Rwanda. The plan focused on decentralized health services, primary care, community participation, human resources development, and information systems infrastructure (World Health Organization [WHO], 2015). Rwanda has made dramatic improvements in heath outcomes over the last 15 years (Rosenburg, 2012). Life expectancy is increasing and childhood deaths are decreasing </w:t>
      </w:r>
      <w:r>
        <w:rPr>
          <w:rFonts w:ascii="Times New Roman" w:hAnsi="Times New Roman" w:cs="Times New Roman"/>
        </w:rPr>
        <w:fldChar w:fldCharType="begin"/>
      </w:r>
      <w:r>
        <w:rPr>
          <w:rFonts w:ascii="Times New Roman" w:hAnsi="Times New Roman" w:cs="Times New Roman"/>
        </w:rPr>
        <w:instrText xml:space="preserve"> ADDIN ZOTERO_ITEM CSL_CITATION {"citationID":"9anntfi23","properties":{"formattedCitation":"(Farmer et al., 2013)","plainCitation":"(Farmer et al., 2013)"},"citationItems":[{"id":1053,"uris":["http://zotero.org/users/1633329/items/Q675A3TU"],"uri":["http://zotero.org/users/1633329/items/Q675A3TU"],"itemData":{"id":1053,"type":"article-journal","title":"Reduced premature mortality in Rwanda: lessons from success","container-title":"BMJ","page":"f65-f65","volume":"346","issue":"jan18 1","source":"CrossRef","DOI":"10.1136/bmj.f65","ISSN":"1756-1833","shortTitle":"Reduced premature mortality in Rwanda","language":"en","author":[{"family":"Farmer","given":"P. E."},{"family":"Nutt","given":"C. T."},{"family":"Wagner","given":"C. M."},{"family":"Sekabaraga","given":"C."},{"family":"Nuthulaganti","given":"T."},{"family":"Weigel","given":"J. L."},{"family":"Farmer","given":"D. B."},{"family":"Habinshuti","given":"A."},{"family":"Mugeni","given":"S. D."},{"family":"Karasi","given":"J.-C."},{"family":"Drobac","given":"P. C."}],"issued":{"date-parts":[["2013",1,18]]}}}],"schema":"https://github.com/citation-style-language/schema/raw/master/csl-citation.json"}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(Farmer et al., 2013)</w:t>
      </w:r>
      <w:r>
        <w:rPr>
          <w:rFonts w:ascii="Times New Roman" w:hAnsi="Times New Roman" w:cs="Times New Roman"/>
        </w:rPr>
        <w:fldChar w:fldCharType="end"/>
      </w:r>
      <w:r>
        <w:rPr>
          <w:rFonts w:ascii="Times New Roman" w:hAnsi="Times New Roman" w:cs="Times New Roman"/>
        </w:rPr>
        <w:t>. The country’s national health insurance, Mutuelle de Santé (Mutelle) covers approximately 90-96% of Rwandans (Farmer, et al., 2013; Rosenburg, 2012), and another 7% are covered by military, civil service, military, private plans (Farmer, et al. 2013). Rwandans are required by law to have some type of health insurance (WHO, 2008).</w:t>
      </w:r>
    </w:p>
    <w:p w14:paraId="50D5A146" w14:textId="77777777" w:rsidR="00243A87" w:rsidRDefault="00243A87" w:rsidP="00243A87">
      <w:pPr>
        <w:spacing w:line="480" w:lineRule="auto"/>
        <w:ind w:firstLine="720"/>
        <w:rPr>
          <w:rFonts w:ascii="Times New Roman" w:hAnsi="Times New Roman" w:cs="Times New Roman"/>
        </w:rPr>
      </w:pPr>
      <w:r>
        <w:rPr>
          <w:rFonts w:ascii="Times New Roman" w:hAnsi="Times New Roman" w:cs="Times New Roman"/>
        </w:rPr>
        <w:t xml:space="preserve">Preventative services, including vaccines and bed nets, are fully covered, along with HIV and AIDS treatment, tuberculosis treatment, and treatment for some cancers (Farmer et al., 2013). Mutelle enrollees pay annual premiums and 10% copayments for other services. External sources of funding from entities such as the Global Fund Against AIDS, Tuberculosis, and Malaria (GFATM) and the US President’s Emergency Plan for AIDS Relief (PEPFAR) were used to boost salaries and train health sector workers, and to subsidize premiums and copayments for the poor </w:t>
      </w:r>
      <w:r>
        <w:rPr>
          <w:rFonts w:ascii="Times New Roman" w:hAnsi="Times New Roman" w:cs="Times New Roman"/>
        </w:rPr>
        <w:fldChar w:fldCharType="begin"/>
      </w:r>
      <w:r>
        <w:rPr>
          <w:rFonts w:ascii="Times New Roman" w:hAnsi="Times New Roman" w:cs="Times New Roman"/>
        </w:rPr>
        <w:instrText xml:space="preserve"> ADDIN ZOTERO_ITEM CSL_CITATION {"citationID":"s55j7tuck","properties":{"formattedCitation":"(Kalk, Groos, Karasi, &amp; Girrbach, 2009)","plainCitation":"(Kalk, Groos, Karasi, &amp; Girrbach, 2009)"},"citationItems":[{"id":1055,"uris":["http://zotero.org/users/1633329/items/6CFN9FI5"],"uri":["http://zotero.org/users/1633329/items/6CFN9FI5"],"itemData":{"id":1055,"type":"article-journal","title":"Health systems strengthening through insurance subsidies: the GFATM experience in Rwanda","container-title":"Tropical Medicine &amp; International Health","source":"CrossRef","URL":"http://doi.wiley.com/10.1111/j.1365-3156.2009.02424.x","DOI":"10.1111/j.1365-3156.2009.02424.x","ISSN":"13602276, 13653156","shortTitle":"Health systems strengthening through insurance subsidies","language":"en","author":[{"family":"Kalk","given":"Andreas"},{"family":"Groos","given":"Natalie"},{"family":"Karasi","given":"Jean-Claude"},{"family":"Girrbach","given":"Elisabeth"}],"issued":{"date-parts":[["2009",11]]},"accessed":{"date-parts":[["2016",4,11]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(Kalk, Groos, Karasi, &amp; Girrbach, 2009)</w:t>
      </w:r>
      <w:r>
        <w:rPr>
          <w:rFonts w:ascii="Times New Roman" w:hAnsi="Times New Roman" w:cs="Times New Roman"/>
        </w:rPr>
        <w:fldChar w:fldCharType="end"/>
      </w:r>
      <w:r>
        <w:rPr>
          <w:rFonts w:ascii="Times New Roman" w:hAnsi="Times New Roman" w:cs="Times New Roman"/>
        </w:rPr>
        <w:t xml:space="preserve">. The system is also financed by state funds and individual contributions (Republic of Rwanda, 2016). The health system is made up of 18 primary care, outpatient, or referral dispensaries, 16 prison dispensaries, 34 health posts, over 430 health centers, and 4 national hospitals (Republic of Rwanda, 2016). </w:t>
      </w:r>
    </w:p>
    <w:p w14:paraId="2E98D5C5" w14:textId="77777777" w:rsidR="00243A87" w:rsidRDefault="00243A87" w:rsidP="00243A87">
      <w:pPr>
        <w:spacing w:line="480" w:lineRule="auto"/>
        <w:ind w:firstLine="720"/>
        <w:rPr>
          <w:rFonts w:ascii="Times New Roman" w:hAnsi="Times New Roman" w:cs="Times New Roman"/>
        </w:rPr>
      </w:pPr>
      <w:r>
        <w:rPr>
          <w:rFonts w:ascii="Times New Roman" w:hAnsi="Times New Roman" w:cs="Times New Roman"/>
        </w:rPr>
        <w:t xml:space="preserve">Rwanda has achieved near universal health coverage for its citizens, but it remains to be determined if the system is sustainable. The current reliance on outside sources for funding, </w:t>
      </w:r>
      <w:r>
        <w:rPr>
          <w:rFonts w:ascii="Times New Roman" w:hAnsi="Times New Roman" w:cs="Times New Roman"/>
        </w:rPr>
        <w:lastRenderedPageBreak/>
        <w:t>combined with high levels of poverty that hinder people from being able to afford premiums and copays, presents significant challenges to the long term success of Rwanda’s health system.</w:t>
      </w:r>
    </w:p>
    <w:p w14:paraId="384DAA27" w14:textId="77777777" w:rsidR="00243A87" w:rsidRDefault="00243A87" w:rsidP="00243A87">
      <w:pPr>
        <w:tabs>
          <w:tab w:val="left" w:pos="3735"/>
        </w:tabs>
      </w:pPr>
      <w:r>
        <w:tab/>
      </w:r>
    </w:p>
    <w:p w14:paraId="16856DDE" w14:textId="77777777" w:rsidR="00243A87" w:rsidRDefault="00243A87" w:rsidP="00243A87">
      <w:pPr>
        <w:tabs>
          <w:tab w:val="left" w:pos="3735"/>
        </w:tabs>
      </w:pPr>
      <w:r>
        <w:br w:type="page"/>
      </w:r>
      <w:r>
        <w:lastRenderedPageBreak/>
        <w:tab/>
      </w:r>
    </w:p>
    <w:p w14:paraId="17D48D02" w14:textId="77777777" w:rsidR="00243A87" w:rsidRDefault="00243A87" w:rsidP="00243A87">
      <w:pPr>
        <w:spacing w:line="480" w:lineRule="auto"/>
        <w:jc w:val="center"/>
      </w:pPr>
      <w:r>
        <w:t>References</w:t>
      </w:r>
    </w:p>
    <w:p w14:paraId="50323169" w14:textId="77777777" w:rsidR="00243A87" w:rsidRDefault="00243A87" w:rsidP="00243A87">
      <w:pPr>
        <w:pStyle w:val="Bibliography"/>
        <w:rPr>
          <w:rFonts w:ascii="Cambria"/>
        </w:rPr>
      </w:pPr>
      <w:r>
        <w:fldChar w:fldCharType="begin"/>
      </w:r>
      <w:r>
        <w:instrText xml:space="preserve"> ADDIN ZOTERO_BIBL {"custom":[]} CSL_BIBLIOGRAPHY </w:instrText>
      </w:r>
      <w:r>
        <w:fldChar w:fldCharType="separate"/>
      </w:r>
      <w:r>
        <w:rPr>
          <w:rFonts w:ascii="Cambria"/>
        </w:rPr>
        <w:t xml:space="preserve">Farmer, P. E., Nutt, C. T., Wagner, C. M., Sekabaraga, C., Nuthulaganti, T., Weigel, J. L., … Drobac, P. C. (2013). Reduced premature mortality in Rwanda: lessons from success. </w:t>
      </w:r>
      <w:r>
        <w:rPr>
          <w:rFonts w:ascii="Cambria"/>
          <w:i/>
          <w:iCs/>
        </w:rPr>
        <w:t>BMJ</w:t>
      </w:r>
      <w:r>
        <w:rPr>
          <w:rFonts w:ascii="Cambria"/>
        </w:rPr>
        <w:t xml:space="preserve">, </w:t>
      </w:r>
      <w:r>
        <w:rPr>
          <w:rFonts w:ascii="Cambria"/>
          <w:i/>
          <w:iCs/>
        </w:rPr>
        <w:t>346</w:t>
      </w:r>
      <w:r>
        <w:rPr>
          <w:rFonts w:ascii="Cambria"/>
        </w:rPr>
        <w:t>(jan18 1), f65–f65. http://doi.org/10.1136/bmj.f65</w:t>
      </w:r>
    </w:p>
    <w:p w14:paraId="309E5F03" w14:textId="77777777" w:rsidR="00243A87" w:rsidRDefault="00243A87" w:rsidP="00243A87">
      <w:pPr>
        <w:pStyle w:val="Bibliography"/>
        <w:rPr>
          <w:rFonts w:ascii="Cambria"/>
        </w:rPr>
      </w:pPr>
      <w:r>
        <w:rPr>
          <w:rFonts w:ascii="Cambria"/>
        </w:rPr>
        <w:t xml:space="preserve">Kalk, A., Groos, N., Karasi, J.-C., &amp; Girrbach, E. (2009). Health systems strengthening through insurance subsidies: the GFATM experience in Rwanda. </w:t>
      </w:r>
      <w:r>
        <w:rPr>
          <w:rFonts w:ascii="Cambria"/>
          <w:i/>
          <w:iCs/>
        </w:rPr>
        <w:t>Tropical Medicine &amp; International Health</w:t>
      </w:r>
      <w:r>
        <w:rPr>
          <w:rFonts w:ascii="Cambria"/>
        </w:rPr>
        <w:t>. http://doi.org/10.1111/j.1365-3156.2009.02424.x</w:t>
      </w:r>
    </w:p>
    <w:p w14:paraId="46AFD613" w14:textId="77777777" w:rsidR="00243A87" w:rsidRDefault="00243A87" w:rsidP="00243A87">
      <w:pPr>
        <w:spacing w:line="480" w:lineRule="auto"/>
        <w:ind w:left="720" w:hanging="720"/>
      </w:pPr>
      <w:r>
        <w:fldChar w:fldCharType="end"/>
      </w:r>
      <w:r>
        <w:t xml:space="preserve">Republic of Rwanda. (2016). </w:t>
      </w:r>
      <w:r>
        <w:rPr>
          <w:i/>
        </w:rPr>
        <w:t>Services: Health system.</w:t>
      </w:r>
      <w:r>
        <w:t xml:space="preserve"> Retrieved from http://www.gov.rw/services/health-system/ </w:t>
      </w:r>
    </w:p>
    <w:p w14:paraId="62B46487" w14:textId="77777777" w:rsidR="00243A87" w:rsidRDefault="00243A87" w:rsidP="00243A87">
      <w:pPr>
        <w:spacing w:line="480" w:lineRule="auto"/>
        <w:ind w:left="720" w:hanging="720"/>
      </w:pPr>
      <w:r>
        <w:t xml:space="preserve">Rosenburg, T. (2012, July 3). Rwanda, health care coverage that eludes the US. </w:t>
      </w:r>
      <w:r>
        <w:rPr>
          <w:i/>
        </w:rPr>
        <w:t>The New York Times.</w:t>
      </w:r>
      <w:r>
        <w:t xml:space="preserve"> Retrieved from http://opinionator.blogs.nytimes.com/2012/07/03/rwandas-health-care-miracle/?_r=0</w:t>
      </w:r>
    </w:p>
    <w:p w14:paraId="3D816FC7" w14:textId="77777777" w:rsidR="00243A87" w:rsidRDefault="00243A87" w:rsidP="00243A87">
      <w:pPr>
        <w:spacing w:line="480" w:lineRule="auto"/>
        <w:ind w:left="720" w:hanging="720"/>
        <w:rPr>
          <w:i/>
        </w:rPr>
      </w:pPr>
      <w:r>
        <w:t xml:space="preserve">World Health Organizatio. (2008). Sharing the burden of sickness: Mutual health insurance in Rwanda. </w:t>
      </w:r>
      <w:r>
        <w:rPr>
          <w:i/>
        </w:rPr>
        <w:t>Bulletin of the World Health Organization, 86</w:t>
      </w:r>
      <w:r>
        <w:t xml:space="preserve">(11), 817-908. Retrieved from http://www.who.int/bulletin/volumes/86/11/08-021108/en/ </w:t>
      </w:r>
    </w:p>
    <w:p w14:paraId="29A9EBE1" w14:textId="77777777" w:rsidR="00243A87" w:rsidRDefault="00243A87" w:rsidP="00243A87">
      <w:pPr>
        <w:spacing w:line="480" w:lineRule="auto"/>
        <w:ind w:left="720" w:hanging="720"/>
      </w:pPr>
      <w:r>
        <w:t xml:space="preserve">World Health Organization. (2015). </w:t>
      </w:r>
      <w:r>
        <w:rPr>
          <w:i/>
        </w:rPr>
        <w:t>Rwanda country health profile.</w:t>
      </w:r>
      <w:r>
        <w:t xml:space="preserve"> Retrieved from http://www.afro.who.int/en/rwanda/country-health-profile/health-and-development.html</w:t>
      </w:r>
    </w:p>
    <w:p w14:paraId="76CACE42" w14:textId="77777777" w:rsidR="00243A87" w:rsidRDefault="00243A87" w:rsidP="00243A87">
      <w:pPr>
        <w:pStyle w:val="Bibliography"/>
      </w:pPr>
      <w:bookmarkStart w:id="0" w:name="_GoBack"/>
      <w:bookmarkEnd w:id="0"/>
    </w:p>
    <w:sectPr w:rsidR="00243A87" w:rsidSect="00E477E5">
      <w:headerReference w:type="even" r:id="rId9"/>
      <w:headerReference w:type="default" r:id="rId10"/>
      <w:head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5ABE6" w14:textId="77777777" w:rsidR="00D22B21" w:rsidRDefault="00D22B21" w:rsidP="004C08A2">
      <w:pPr>
        <w:spacing w:after="0"/>
      </w:pPr>
      <w:r>
        <w:separator/>
      </w:r>
    </w:p>
  </w:endnote>
  <w:endnote w:type="continuationSeparator" w:id="0">
    <w:p w14:paraId="1DD79AF1" w14:textId="77777777" w:rsidR="00D22B21" w:rsidRDefault="00D22B21" w:rsidP="004C08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06F05" w14:textId="77777777" w:rsidR="00D22B21" w:rsidRDefault="00D22B21" w:rsidP="004C08A2">
      <w:pPr>
        <w:spacing w:after="0"/>
      </w:pPr>
      <w:r>
        <w:separator/>
      </w:r>
    </w:p>
  </w:footnote>
  <w:footnote w:type="continuationSeparator" w:id="0">
    <w:p w14:paraId="05C51A0F" w14:textId="77777777" w:rsidR="00D22B21" w:rsidRDefault="00D22B21" w:rsidP="004C08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1538E" w14:textId="77777777" w:rsidR="00042C99" w:rsidRDefault="00042C99" w:rsidP="005C4E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4F2090" w14:textId="77777777" w:rsidR="00042C99" w:rsidRDefault="00042C99" w:rsidP="005C4E0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BE117" w14:textId="77777777" w:rsidR="00042C99" w:rsidRDefault="00042C99" w:rsidP="005C4E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3A87">
      <w:rPr>
        <w:rStyle w:val="PageNumber"/>
        <w:noProof/>
      </w:rPr>
      <w:t>8</w:t>
    </w:r>
    <w:r>
      <w:rPr>
        <w:rStyle w:val="PageNumber"/>
      </w:rPr>
      <w:fldChar w:fldCharType="end"/>
    </w:r>
  </w:p>
  <w:p w14:paraId="1846EE39" w14:textId="242077A5" w:rsidR="00042C99" w:rsidRPr="00E477E5" w:rsidRDefault="00042C99" w:rsidP="00E02849">
    <w:pPr>
      <w:pStyle w:val="Header"/>
      <w:tabs>
        <w:tab w:val="left" w:pos="6187"/>
      </w:tabs>
      <w:ind w:right="360"/>
    </w:pPr>
    <w:r w:rsidRPr="00E477E5">
      <w:tab/>
    </w:r>
    <w:r w:rsidRPr="00E477E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C1368" w14:textId="1EE71F30" w:rsidR="00042C99" w:rsidRDefault="00042C99" w:rsidP="00EE5E72">
    <w:pPr>
      <w:pStyle w:val="Header"/>
    </w:pPr>
    <w:r>
      <w:t xml:space="preserve">Running Head: </w:t>
    </w:r>
    <w:r w:rsidR="00EE5E72">
      <w:t>PERU’S HEALTH SYSTEM</w:t>
    </w:r>
    <w:r>
      <w:t xml:space="preserve"> </w:t>
    </w:r>
    <w:r>
      <w:tab/>
      <w:t xml:space="preserve">         </w:t>
    </w:r>
    <w:r w:rsidR="00EE5E72">
      <w:tab/>
    </w:r>
    <w:r>
      <w:t xml:space="preserve"> </w:t>
    </w:r>
    <w:r>
      <w:rPr>
        <w:rStyle w:val="PageNumber"/>
      </w:rPr>
      <w:fldChar w:fldCharType="begin"/>
    </w:r>
    <w:r>
      <w:rPr>
        <w:rStyle w:val="PageNumber"/>
      </w:rPr>
      <w:instrText xml:space="preserve"> PAGE </w:instrText>
    </w:r>
    <w:r>
      <w:rPr>
        <w:rStyle w:val="PageNumber"/>
      </w:rPr>
      <w:fldChar w:fldCharType="separate"/>
    </w:r>
    <w:r w:rsidR="00243A87">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894EE876"/>
    <w:lvl w:ilvl="0">
      <w:numFmt w:val="bullet"/>
      <w:lvlText w:val="•"/>
      <w:lvlJc w:val="left"/>
      <w:pPr>
        <w:tabs>
          <w:tab w:val="num" w:pos="180"/>
        </w:tabs>
        <w:ind w:left="180" w:firstLine="0"/>
      </w:pPr>
      <w:rPr>
        <w:rFonts w:hint="default"/>
        <w:position w:val="-2"/>
      </w:rPr>
    </w:lvl>
    <w:lvl w:ilv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17585081"/>
    <w:multiLevelType w:val="hybridMultilevel"/>
    <w:tmpl w:val="335E0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773928"/>
    <w:multiLevelType w:val="hybridMultilevel"/>
    <w:tmpl w:val="79040644"/>
    <w:lvl w:ilvl="0" w:tplc="D25C89A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37C95255"/>
    <w:multiLevelType w:val="hybridMultilevel"/>
    <w:tmpl w:val="91AC1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143E30"/>
    <w:multiLevelType w:val="hybridMultilevel"/>
    <w:tmpl w:val="FE56F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04161"/>
    <w:multiLevelType w:val="hybridMultilevel"/>
    <w:tmpl w:val="B5CA9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3B91A5C"/>
    <w:multiLevelType w:val="hybridMultilevel"/>
    <w:tmpl w:val="DECE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4C4558"/>
    <w:multiLevelType w:val="hybridMultilevel"/>
    <w:tmpl w:val="E3D4C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2DC6EBC"/>
    <w:multiLevelType w:val="hybridMultilevel"/>
    <w:tmpl w:val="8BDE2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6"/>
  </w:num>
  <w:num w:numId="5">
    <w:abstractNumId w:val="7"/>
  </w:num>
  <w:num w:numId="6">
    <w:abstractNumId w:val="5"/>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33F"/>
    <w:rsid w:val="00000E2E"/>
    <w:rsid w:val="0001108A"/>
    <w:rsid w:val="0001159D"/>
    <w:rsid w:val="000118D1"/>
    <w:rsid w:val="00014757"/>
    <w:rsid w:val="00014C7A"/>
    <w:rsid w:val="000302B8"/>
    <w:rsid w:val="00037114"/>
    <w:rsid w:val="000401AC"/>
    <w:rsid w:val="0004122C"/>
    <w:rsid w:val="00042C99"/>
    <w:rsid w:val="000447EC"/>
    <w:rsid w:val="00045C89"/>
    <w:rsid w:val="00052D50"/>
    <w:rsid w:val="00053AF1"/>
    <w:rsid w:val="00055F44"/>
    <w:rsid w:val="000619B8"/>
    <w:rsid w:val="000751B4"/>
    <w:rsid w:val="000770F4"/>
    <w:rsid w:val="00086FD9"/>
    <w:rsid w:val="00092A5A"/>
    <w:rsid w:val="00093FE6"/>
    <w:rsid w:val="00094ABE"/>
    <w:rsid w:val="00094C28"/>
    <w:rsid w:val="00094D3A"/>
    <w:rsid w:val="00097E32"/>
    <w:rsid w:val="000A035D"/>
    <w:rsid w:val="000A1C36"/>
    <w:rsid w:val="000B24C2"/>
    <w:rsid w:val="000C293D"/>
    <w:rsid w:val="000D7387"/>
    <w:rsid w:val="000F0ECA"/>
    <w:rsid w:val="000F4F42"/>
    <w:rsid w:val="000F53D5"/>
    <w:rsid w:val="000F7997"/>
    <w:rsid w:val="00100FF2"/>
    <w:rsid w:val="00104AC9"/>
    <w:rsid w:val="00105921"/>
    <w:rsid w:val="00106EBD"/>
    <w:rsid w:val="001138E0"/>
    <w:rsid w:val="0011452D"/>
    <w:rsid w:val="001208F0"/>
    <w:rsid w:val="001247C8"/>
    <w:rsid w:val="00125AAB"/>
    <w:rsid w:val="001269AF"/>
    <w:rsid w:val="00127250"/>
    <w:rsid w:val="00130F2C"/>
    <w:rsid w:val="001414E1"/>
    <w:rsid w:val="001425E5"/>
    <w:rsid w:val="00150041"/>
    <w:rsid w:val="001528DB"/>
    <w:rsid w:val="0015372F"/>
    <w:rsid w:val="001576E5"/>
    <w:rsid w:val="001672D3"/>
    <w:rsid w:val="00167676"/>
    <w:rsid w:val="00171A75"/>
    <w:rsid w:val="001754D3"/>
    <w:rsid w:val="00177527"/>
    <w:rsid w:val="00183C48"/>
    <w:rsid w:val="001900D4"/>
    <w:rsid w:val="001914C0"/>
    <w:rsid w:val="00194122"/>
    <w:rsid w:val="001957C0"/>
    <w:rsid w:val="001B1F1E"/>
    <w:rsid w:val="001B3781"/>
    <w:rsid w:val="001C2954"/>
    <w:rsid w:val="001C5605"/>
    <w:rsid w:val="001C643E"/>
    <w:rsid w:val="001D4F36"/>
    <w:rsid w:val="001F6920"/>
    <w:rsid w:val="001F6BE7"/>
    <w:rsid w:val="001F7EB7"/>
    <w:rsid w:val="00201C1D"/>
    <w:rsid w:val="00220EC6"/>
    <w:rsid w:val="00232270"/>
    <w:rsid w:val="00233E7B"/>
    <w:rsid w:val="00233E9E"/>
    <w:rsid w:val="00237356"/>
    <w:rsid w:val="00243A87"/>
    <w:rsid w:val="002444B4"/>
    <w:rsid w:val="002454D3"/>
    <w:rsid w:val="00246036"/>
    <w:rsid w:val="00246346"/>
    <w:rsid w:val="00250D2F"/>
    <w:rsid w:val="00260C6D"/>
    <w:rsid w:val="002667CD"/>
    <w:rsid w:val="00274E29"/>
    <w:rsid w:val="002863FF"/>
    <w:rsid w:val="002870CD"/>
    <w:rsid w:val="00291BAD"/>
    <w:rsid w:val="00297E57"/>
    <w:rsid w:val="002A1516"/>
    <w:rsid w:val="002A19E5"/>
    <w:rsid w:val="002A2A72"/>
    <w:rsid w:val="002B2FE5"/>
    <w:rsid w:val="002C0888"/>
    <w:rsid w:val="002C38B0"/>
    <w:rsid w:val="002C3A21"/>
    <w:rsid w:val="002C742A"/>
    <w:rsid w:val="002D0A21"/>
    <w:rsid w:val="002E5E27"/>
    <w:rsid w:val="002E7F11"/>
    <w:rsid w:val="00301F61"/>
    <w:rsid w:val="00302B50"/>
    <w:rsid w:val="00305B72"/>
    <w:rsid w:val="003113A3"/>
    <w:rsid w:val="0031155A"/>
    <w:rsid w:val="0032039F"/>
    <w:rsid w:val="0033064E"/>
    <w:rsid w:val="003321D4"/>
    <w:rsid w:val="00341691"/>
    <w:rsid w:val="00346A49"/>
    <w:rsid w:val="0035105B"/>
    <w:rsid w:val="00351694"/>
    <w:rsid w:val="00354F21"/>
    <w:rsid w:val="00362963"/>
    <w:rsid w:val="00362C7B"/>
    <w:rsid w:val="00363515"/>
    <w:rsid w:val="00363B2E"/>
    <w:rsid w:val="00365490"/>
    <w:rsid w:val="00373271"/>
    <w:rsid w:val="00374DB0"/>
    <w:rsid w:val="003807F5"/>
    <w:rsid w:val="00381883"/>
    <w:rsid w:val="003826C7"/>
    <w:rsid w:val="0039184C"/>
    <w:rsid w:val="00393F7D"/>
    <w:rsid w:val="0039421F"/>
    <w:rsid w:val="00396DF9"/>
    <w:rsid w:val="003A1FDF"/>
    <w:rsid w:val="003B0985"/>
    <w:rsid w:val="003B0EEB"/>
    <w:rsid w:val="003B2C6D"/>
    <w:rsid w:val="003B5686"/>
    <w:rsid w:val="003C4883"/>
    <w:rsid w:val="003D3CA3"/>
    <w:rsid w:val="003E1638"/>
    <w:rsid w:val="004107FC"/>
    <w:rsid w:val="0041092D"/>
    <w:rsid w:val="004130C9"/>
    <w:rsid w:val="0042095F"/>
    <w:rsid w:val="004220A1"/>
    <w:rsid w:val="00424B27"/>
    <w:rsid w:val="00433D4F"/>
    <w:rsid w:val="00441161"/>
    <w:rsid w:val="0044495E"/>
    <w:rsid w:val="00453835"/>
    <w:rsid w:val="00455D90"/>
    <w:rsid w:val="00457B5E"/>
    <w:rsid w:val="00465ECD"/>
    <w:rsid w:val="00466FE5"/>
    <w:rsid w:val="00471458"/>
    <w:rsid w:val="00472DB0"/>
    <w:rsid w:val="00473D4C"/>
    <w:rsid w:val="0047564E"/>
    <w:rsid w:val="0048376C"/>
    <w:rsid w:val="0048553E"/>
    <w:rsid w:val="0048746A"/>
    <w:rsid w:val="00494726"/>
    <w:rsid w:val="004A13CA"/>
    <w:rsid w:val="004A3AB1"/>
    <w:rsid w:val="004B7239"/>
    <w:rsid w:val="004B78AF"/>
    <w:rsid w:val="004B7C2A"/>
    <w:rsid w:val="004C08A2"/>
    <w:rsid w:val="004D3A3E"/>
    <w:rsid w:val="004E293A"/>
    <w:rsid w:val="004F2CC7"/>
    <w:rsid w:val="005120E1"/>
    <w:rsid w:val="005161AC"/>
    <w:rsid w:val="005201AD"/>
    <w:rsid w:val="00521DFF"/>
    <w:rsid w:val="005253EB"/>
    <w:rsid w:val="00525732"/>
    <w:rsid w:val="00527ABB"/>
    <w:rsid w:val="00533ECB"/>
    <w:rsid w:val="00543C3F"/>
    <w:rsid w:val="005446BA"/>
    <w:rsid w:val="00550C39"/>
    <w:rsid w:val="005541BF"/>
    <w:rsid w:val="00554408"/>
    <w:rsid w:val="00555260"/>
    <w:rsid w:val="00555E93"/>
    <w:rsid w:val="0056769A"/>
    <w:rsid w:val="00573C3D"/>
    <w:rsid w:val="0057724B"/>
    <w:rsid w:val="005820B1"/>
    <w:rsid w:val="005849B6"/>
    <w:rsid w:val="00590F66"/>
    <w:rsid w:val="005966B2"/>
    <w:rsid w:val="00597055"/>
    <w:rsid w:val="005A0A32"/>
    <w:rsid w:val="005A679C"/>
    <w:rsid w:val="005B3EBC"/>
    <w:rsid w:val="005B7CC4"/>
    <w:rsid w:val="005C4E0A"/>
    <w:rsid w:val="005D1176"/>
    <w:rsid w:val="005D6470"/>
    <w:rsid w:val="005E0FF3"/>
    <w:rsid w:val="005E31E3"/>
    <w:rsid w:val="005E5397"/>
    <w:rsid w:val="005E547E"/>
    <w:rsid w:val="005E7EC6"/>
    <w:rsid w:val="005F1F59"/>
    <w:rsid w:val="005F2CFC"/>
    <w:rsid w:val="005F74DF"/>
    <w:rsid w:val="0060140B"/>
    <w:rsid w:val="00602B47"/>
    <w:rsid w:val="00604406"/>
    <w:rsid w:val="00606832"/>
    <w:rsid w:val="0061088F"/>
    <w:rsid w:val="00614047"/>
    <w:rsid w:val="00617B47"/>
    <w:rsid w:val="006223EF"/>
    <w:rsid w:val="00623659"/>
    <w:rsid w:val="00633DA5"/>
    <w:rsid w:val="006406BB"/>
    <w:rsid w:val="00644FEA"/>
    <w:rsid w:val="0064633F"/>
    <w:rsid w:val="00650AE9"/>
    <w:rsid w:val="00667DD1"/>
    <w:rsid w:val="0067074F"/>
    <w:rsid w:val="006713EA"/>
    <w:rsid w:val="00673F8E"/>
    <w:rsid w:val="0067426C"/>
    <w:rsid w:val="006766BB"/>
    <w:rsid w:val="00683639"/>
    <w:rsid w:val="0069134A"/>
    <w:rsid w:val="006937E6"/>
    <w:rsid w:val="00694105"/>
    <w:rsid w:val="00694A33"/>
    <w:rsid w:val="006A058B"/>
    <w:rsid w:val="006A545A"/>
    <w:rsid w:val="006B5F70"/>
    <w:rsid w:val="006C1392"/>
    <w:rsid w:val="006C2E86"/>
    <w:rsid w:val="006C5453"/>
    <w:rsid w:val="006D1130"/>
    <w:rsid w:val="006D142E"/>
    <w:rsid w:val="006D3B31"/>
    <w:rsid w:val="006E7892"/>
    <w:rsid w:val="00700122"/>
    <w:rsid w:val="00700564"/>
    <w:rsid w:val="007007D9"/>
    <w:rsid w:val="00703F03"/>
    <w:rsid w:val="00710337"/>
    <w:rsid w:val="007119F4"/>
    <w:rsid w:val="00711D62"/>
    <w:rsid w:val="0071622F"/>
    <w:rsid w:val="00722CB9"/>
    <w:rsid w:val="00726F7B"/>
    <w:rsid w:val="00727D4D"/>
    <w:rsid w:val="0073090A"/>
    <w:rsid w:val="00732E76"/>
    <w:rsid w:val="00735D99"/>
    <w:rsid w:val="00736A83"/>
    <w:rsid w:val="00744F87"/>
    <w:rsid w:val="00761855"/>
    <w:rsid w:val="00763FAB"/>
    <w:rsid w:val="0076641B"/>
    <w:rsid w:val="00773154"/>
    <w:rsid w:val="00775213"/>
    <w:rsid w:val="00782838"/>
    <w:rsid w:val="007872A6"/>
    <w:rsid w:val="00795071"/>
    <w:rsid w:val="007A0268"/>
    <w:rsid w:val="007B281E"/>
    <w:rsid w:val="007C19E1"/>
    <w:rsid w:val="007C3BB4"/>
    <w:rsid w:val="007D2FB1"/>
    <w:rsid w:val="007D61F9"/>
    <w:rsid w:val="007D6A6F"/>
    <w:rsid w:val="007E1BC8"/>
    <w:rsid w:val="007E44B6"/>
    <w:rsid w:val="007E44CA"/>
    <w:rsid w:val="007E66A2"/>
    <w:rsid w:val="007F112E"/>
    <w:rsid w:val="007F360D"/>
    <w:rsid w:val="007F7600"/>
    <w:rsid w:val="00804DD1"/>
    <w:rsid w:val="00807BE8"/>
    <w:rsid w:val="008112DD"/>
    <w:rsid w:val="008157F1"/>
    <w:rsid w:val="00816674"/>
    <w:rsid w:val="00821046"/>
    <w:rsid w:val="00821DB6"/>
    <w:rsid w:val="0082238E"/>
    <w:rsid w:val="00825F7D"/>
    <w:rsid w:val="008406BE"/>
    <w:rsid w:val="00840C06"/>
    <w:rsid w:val="00841B51"/>
    <w:rsid w:val="008466A7"/>
    <w:rsid w:val="00847CBF"/>
    <w:rsid w:val="0085689A"/>
    <w:rsid w:val="00861E97"/>
    <w:rsid w:val="008624A4"/>
    <w:rsid w:val="00871EE7"/>
    <w:rsid w:val="0087500B"/>
    <w:rsid w:val="008751BE"/>
    <w:rsid w:val="00877762"/>
    <w:rsid w:val="008837D2"/>
    <w:rsid w:val="00886710"/>
    <w:rsid w:val="00893D2F"/>
    <w:rsid w:val="008A44B0"/>
    <w:rsid w:val="008A4C49"/>
    <w:rsid w:val="008A5929"/>
    <w:rsid w:val="008A78CB"/>
    <w:rsid w:val="008B629F"/>
    <w:rsid w:val="008B6C88"/>
    <w:rsid w:val="008C4126"/>
    <w:rsid w:val="008C58BE"/>
    <w:rsid w:val="008C7BC9"/>
    <w:rsid w:val="008D2613"/>
    <w:rsid w:val="008D40E0"/>
    <w:rsid w:val="008E046D"/>
    <w:rsid w:val="008E2994"/>
    <w:rsid w:val="008E6AC7"/>
    <w:rsid w:val="008F497F"/>
    <w:rsid w:val="00903A87"/>
    <w:rsid w:val="00915D3B"/>
    <w:rsid w:val="0091734B"/>
    <w:rsid w:val="009178D8"/>
    <w:rsid w:val="00935223"/>
    <w:rsid w:val="00943B4F"/>
    <w:rsid w:val="00953648"/>
    <w:rsid w:val="00957023"/>
    <w:rsid w:val="009604E1"/>
    <w:rsid w:val="00962878"/>
    <w:rsid w:val="009667DD"/>
    <w:rsid w:val="00967E47"/>
    <w:rsid w:val="00986556"/>
    <w:rsid w:val="009868AC"/>
    <w:rsid w:val="009A1264"/>
    <w:rsid w:val="009A406D"/>
    <w:rsid w:val="009A4854"/>
    <w:rsid w:val="009B079A"/>
    <w:rsid w:val="009B5FBE"/>
    <w:rsid w:val="009B65A7"/>
    <w:rsid w:val="009B6D7D"/>
    <w:rsid w:val="009B7F36"/>
    <w:rsid w:val="009C3B3D"/>
    <w:rsid w:val="009D4353"/>
    <w:rsid w:val="009D5397"/>
    <w:rsid w:val="009E423D"/>
    <w:rsid w:val="009E6061"/>
    <w:rsid w:val="009F0A2E"/>
    <w:rsid w:val="009F26DD"/>
    <w:rsid w:val="009F5407"/>
    <w:rsid w:val="009F68F1"/>
    <w:rsid w:val="00A019FA"/>
    <w:rsid w:val="00A01E11"/>
    <w:rsid w:val="00A07F47"/>
    <w:rsid w:val="00A11D15"/>
    <w:rsid w:val="00A12E6C"/>
    <w:rsid w:val="00A34BDA"/>
    <w:rsid w:val="00A37725"/>
    <w:rsid w:val="00A443F0"/>
    <w:rsid w:val="00A472DB"/>
    <w:rsid w:val="00A60FBA"/>
    <w:rsid w:val="00A65233"/>
    <w:rsid w:val="00A7554E"/>
    <w:rsid w:val="00A7774E"/>
    <w:rsid w:val="00A77F2C"/>
    <w:rsid w:val="00A81825"/>
    <w:rsid w:val="00A844B3"/>
    <w:rsid w:val="00A85658"/>
    <w:rsid w:val="00A85752"/>
    <w:rsid w:val="00A8741A"/>
    <w:rsid w:val="00A90E47"/>
    <w:rsid w:val="00A915B8"/>
    <w:rsid w:val="00AA0DA7"/>
    <w:rsid w:val="00AA71D8"/>
    <w:rsid w:val="00AB14BB"/>
    <w:rsid w:val="00AC570E"/>
    <w:rsid w:val="00AC5CEE"/>
    <w:rsid w:val="00AC6C2B"/>
    <w:rsid w:val="00AC6C62"/>
    <w:rsid w:val="00AD22A8"/>
    <w:rsid w:val="00AD2786"/>
    <w:rsid w:val="00AD5C57"/>
    <w:rsid w:val="00AD7723"/>
    <w:rsid w:val="00AE2DB1"/>
    <w:rsid w:val="00AE57DD"/>
    <w:rsid w:val="00AF7FA7"/>
    <w:rsid w:val="00B00C09"/>
    <w:rsid w:val="00B04D2F"/>
    <w:rsid w:val="00B10E94"/>
    <w:rsid w:val="00B12564"/>
    <w:rsid w:val="00B14ADA"/>
    <w:rsid w:val="00B2338F"/>
    <w:rsid w:val="00B2365B"/>
    <w:rsid w:val="00B23ED0"/>
    <w:rsid w:val="00B26001"/>
    <w:rsid w:val="00B421E3"/>
    <w:rsid w:val="00B45A1D"/>
    <w:rsid w:val="00B47D21"/>
    <w:rsid w:val="00B511A0"/>
    <w:rsid w:val="00B524AC"/>
    <w:rsid w:val="00B543D9"/>
    <w:rsid w:val="00B566ED"/>
    <w:rsid w:val="00B56D3B"/>
    <w:rsid w:val="00B61C17"/>
    <w:rsid w:val="00B6366E"/>
    <w:rsid w:val="00B70B76"/>
    <w:rsid w:val="00B72B51"/>
    <w:rsid w:val="00B73CC1"/>
    <w:rsid w:val="00B77E60"/>
    <w:rsid w:val="00B800E8"/>
    <w:rsid w:val="00B85FED"/>
    <w:rsid w:val="00B86F69"/>
    <w:rsid w:val="00B91A05"/>
    <w:rsid w:val="00B939D4"/>
    <w:rsid w:val="00B97F52"/>
    <w:rsid w:val="00BA3711"/>
    <w:rsid w:val="00BA5A00"/>
    <w:rsid w:val="00BA6869"/>
    <w:rsid w:val="00BB6EFC"/>
    <w:rsid w:val="00BC0E41"/>
    <w:rsid w:val="00BC3FFB"/>
    <w:rsid w:val="00BD1927"/>
    <w:rsid w:val="00BD3E1C"/>
    <w:rsid w:val="00BD3F41"/>
    <w:rsid w:val="00BD750F"/>
    <w:rsid w:val="00BE35A6"/>
    <w:rsid w:val="00BE47F2"/>
    <w:rsid w:val="00BF375B"/>
    <w:rsid w:val="00BF458B"/>
    <w:rsid w:val="00C04621"/>
    <w:rsid w:val="00C100CB"/>
    <w:rsid w:val="00C15280"/>
    <w:rsid w:val="00C16E48"/>
    <w:rsid w:val="00C23736"/>
    <w:rsid w:val="00C24BEE"/>
    <w:rsid w:val="00C33059"/>
    <w:rsid w:val="00C363F9"/>
    <w:rsid w:val="00C37803"/>
    <w:rsid w:val="00C425A9"/>
    <w:rsid w:val="00C55522"/>
    <w:rsid w:val="00C5552A"/>
    <w:rsid w:val="00C5732E"/>
    <w:rsid w:val="00C667D5"/>
    <w:rsid w:val="00C66B24"/>
    <w:rsid w:val="00C66CF9"/>
    <w:rsid w:val="00C67033"/>
    <w:rsid w:val="00C67A63"/>
    <w:rsid w:val="00C70703"/>
    <w:rsid w:val="00C7648C"/>
    <w:rsid w:val="00C77E3A"/>
    <w:rsid w:val="00C8421C"/>
    <w:rsid w:val="00C87EC9"/>
    <w:rsid w:val="00C93D73"/>
    <w:rsid w:val="00C948CD"/>
    <w:rsid w:val="00CA4726"/>
    <w:rsid w:val="00CB3CDC"/>
    <w:rsid w:val="00CB4519"/>
    <w:rsid w:val="00CB4F21"/>
    <w:rsid w:val="00CB59C1"/>
    <w:rsid w:val="00CC3384"/>
    <w:rsid w:val="00CD03E9"/>
    <w:rsid w:val="00CE417A"/>
    <w:rsid w:val="00CE4F41"/>
    <w:rsid w:val="00CE640E"/>
    <w:rsid w:val="00CE6DD5"/>
    <w:rsid w:val="00CF282A"/>
    <w:rsid w:val="00CF624D"/>
    <w:rsid w:val="00D13FFA"/>
    <w:rsid w:val="00D152B8"/>
    <w:rsid w:val="00D2039B"/>
    <w:rsid w:val="00D22B21"/>
    <w:rsid w:val="00D24195"/>
    <w:rsid w:val="00D26815"/>
    <w:rsid w:val="00D34EF6"/>
    <w:rsid w:val="00D35065"/>
    <w:rsid w:val="00D36905"/>
    <w:rsid w:val="00D40D3E"/>
    <w:rsid w:val="00D41923"/>
    <w:rsid w:val="00D4526D"/>
    <w:rsid w:val="00D460E4"/>
    <w:rsid w:val="00D556D4"/>
    <w:rsid w:val="00D63096"/>
    <w:rsid w:val="00D635E8"/>
    <w:rsid w:val="00D80B5A"/>
    <w:rsid w:val="00D86223"/>
    <w:rsid w:val="00D96A56"/>
    <w:rsid w:val="00D979D7"/>
    <w:rsid w:val="00DA243A"/>
    <w:rsid w:val="00DA44B7"/>
    <w:rsid w:val="00DB0380"/>
    <w:rsid w:val="00DB66E6"/>
    <w:rsid w:val="00DC6F2C"/>
    <w:rsid w:val="00DE4ABD"/>
    <w:rsid w:val="00DF0066"/>
    <w:rsid w:val="00DF2089"/>
    <w:rsid w:val="00DF3C49"/>
    <w:rsid w:val="00DF705C"/>
    <w:rsid w:val="00E00046"/>
    <w:rsid w:val="00E01779"/>
    <w:rsid w:val="00E02849"/>
    <w:rsid w:val="00E13ECE"/>
    <w:rsid w:val="00E24437"/>
    <w:rsid w:val="00E2728C"/>
    <w:rsid w:val="00E2776D"/>
    <w:rsid w:val="00E27E7C"/>
    <w:rsid w:val="00E35DCA"/>
    <w:rsid w:val="00E429FA"/>
    <w:rsid w:val="00E431D2"/>
    <w:rsid w:val="00E465DE"/>
    <w:rsid w:val="00E474D3"/>
    <w:rsid w:val="00E477E5"/>
    <w:rsid w:val="00E5267D"/>
    <w:rsid w:val="00E549DA"/>
    <w:rsid w:val="00E633B8"/>
    <w:rsid w:val="00E644C8"/>
    <w:rsid w:val="00E71C5D"/>
    <w:rsid w:val="00E71ED9"/>
    <w:rsid w:val="00E75DEC"/>
    <w:rsid w:val="00E8178F"/>
    <w:rsid w:val="00E81850"/>
    <w:rsid w:val="00E83426"/>
    <w:rsid w:val="00E837A7"/>
    <w:rsid w:val="00E94A64"/>
    <w:rsid w:val="00E97DF2"/>
    <w:rsid w:val="00EA2C14"/>
    <w:rsid w:val="00EA6C10"/>
    <w:rsid w:val="00EA7331"/>
    <w:rsid w:val="00EB4519"/>
    <w:rsid w:val="00EC70A9"/>
    <w:rsid w:val="00ED23E6"/>
    <w:rsid w:val="00EE20E5"/>
    <w:rsid w:val="00EE5E72"/>
    <w:rsid w:val="00EF5092"/>
    <w:rsid w:val="00EF5244"/>
    <w:rsid w:val="00EF57C4"/>
    <w:rsid w:val="00EF6091"/>
    <w:rsid w:val="00EF7CAA"/>
    <w:rsid w:val="00F017B5"/>
    <w:rsid w:val="00F056C1"/>
    <w:rsid w:val="00F05DCA"/>
    <w:rsid w:val="00F07E9E"/>
    <w:rsid w:val="00F11E80"/>
    <w:rsid w:val="00F132D2"/>
    <w:rsid w:val="00F15EAD"/>
    <w:rsid w:val="00F17DCF"/>
    <w:rsid w:val="00F17F32"/>
    <w:rsid w:val="00F20E81"/>
    <w:rsid w:val="00F22089"/>
    <w:rsid w:val="00F3432E"/>
    <w:rsid w:val="00F45FED"/>
    <w:rsid w:val="00F52C34"/>
    <w:rsid w:val="00F52DBF"/>
    <w:rsid w:val="00F54ACB"/>
    <w:rsid w:val="00F56720"/>
    <w:rsid w:val="00F610B0"/>
    <w:rsid w:val="00F65D92"/>
    <w:rsid w:val="00F67E9F"/>
    <w:rsid w:val="00F72EDB"/>
    <w:rsid w:val="00F75B01"/>
    <w:rsid w:val="00F7673D"/>
    <w:rsid w:val="00F842C1"/>
    <w:rsid w:val="00F86DAF"/>
    <w:rsid w:val="00F915B0"/>
    <w:rsid w:val="00F9256B"/>
    <w:rsid w:val="00F975C3"/>
    <w:rsid w:val="00FA1E09"/>
    <w:rsid w:val="00FA3E6A"/>
    <w:rsid w:val="00FA4277"/>
    <w:rsid w:val="00FD255C"/>
    <w:rsid w:val="00FD4FF0"/>
    <w:rsid w:val="00FE000B"/>
    <w:rsid w:val="00FF3CE8"/>
    <w:rsid w:val="00FF59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40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03"/>
  </w:style>
  <w:style w:type="paragraph" w:styleId="Heading2">
    <w:name w:val="heading 2"/>
    <w:basedOn w:val="Normal"/>
    <w:next w:val="Normal"/>
    <w:link w:val="Heading2Char"/>
    <w:uiPriority w:val="9"/>
    <w:unhideWhenUsed/>
    <w:qFormat/>
    <w:rsid w:val="008B62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055"/>
    <w:pPr>
      <w:ind w:left="720"/>
      <w:contextualSpacing/>
    </w:pPr>
  </w:style>
  <w:style w:type="paragraph" w:styleId="Bibliography">
    <w:name w:val="Bibliography"/>
    <w:basedOn w:val="Normal"/>
    <w:next w:val="Normal"/>
    <w:uiPriority w:val="37"/>
    <w:unhideWhenUsed/>
    <w:rsid w:val="00455D90"/>
    <w:pPr>
      <w:spacing w:after="0" w:line="480" w:lineRule="auto"/>
      <w:ind w:left="720" w:hanging="720"/>
    </w:pPr>
  </w:style>
  <w:style w:type="paragraph" w:styleId="Header">
    <w:name w:val="header"/>
    <w:basedOn w:val="Normal"/>
    <w:link w:val="HeaderChar"/>
    <w:uiPriority w:val="99"/>
    <w:unhideWhenUsed/>
    <w:rsid w:val="004C08A2"/>
    <w:pPr>
      <w:tabs>
        <w:tab w:val="center" w:pos="4320"/>
        <w:tab w:val="right" w:pos="8640"/>
      </w:tabs>
      <w:spacing w:after="0"/>
    </w:pPr>
  </w:style>
  <w:style w:type="character" w:customStyle="1" w:styleId="HeaderChar">
    <w:name w:val="Header Char"/>
    <w:basedOn w:val="DefaultParagraphFont"/>
    <w:link w:val="Header"/>
    <w:uiPriority w:val="99"/>
    <w:rsid w:val="004C08A2"/>
  </w:style>
  <w:style w:type="paragraph" w:styleId="Footer">
    <w:name w:val="footer"/>
    <w:basedOn w:val="Normal"/>
    <w:link w:val="FooterChar"/>
    <w:uiPriority w:val="99"/>
    <w:unhideWhenUsed/>
    <w:rsid w:val="004C08A2"/>
    <w:pPr>
      <w:tabs>
        <w:tab w:val="center" w:pos="4320"/>
        <w:tab w:val="right" w:pos="8640"/>
      </w:tabs>
      <w:spacing w:after="0"/>
    </w:pPr>
  </w:style>
  <w:style w:type="character" w:customStyle="1" w:styleId="FooterChar">
    <w:name w:val="Footer Char"/>
    <w:basedOn w:val="DefaultParagraphFont"/>
    <w:link w:val="Footer"/>
    <w:uiPriority w:val="99"/>
    <w:rsid w:val="004C08A2"/>
  </w:style>
  <w:style w:type="character" w:styleId="PageNumber">
    <w:name w:val="page number"/>
    <w:basedOn w:val="DefaultParagraphFont"/>
    <w:uiPriority w:val="99"/>
    <w:semiHidden/>
    <w:unhideWhenUsed/>
    <w:rsid w:val="004C08A2"/>
  </w:style>
  <w:style w:type="character" w:styleId="CommentReference">
    <w:name w:val="annotation reference"/>
    <w:basedOn w:val="DefaultParagraphFont"/>
    <w:uiPriority w:val="99"/>
    <w:semiHidden/>
    <w:unhideWhenUsed/>
    <w:rsid w:val="005E0FF3"/>
    <w:rPr>
      <w:sz w:val="18"/>
      <w:szCs w:val="18"/>
    </w:rPr>
  </w:style>
  <w:style w:type="paragraph" w:styleId="CommentText">
    <w:name w:val="annotation text"/>
    <w:basedOn w:val="Normal"/>
    <w:link w:val="CommentTextChar"/>
    <w:uiPriority w:val="99"/>
    <w:semiHidden/>
    <w:unhideWhenUsed/>
    <w:rsid w:val="005E0FF3"/>
  </w:style>
  <w:style w:type="character" w:customStyle="1" w:styleId="CommentTextChar">
    <w:name w:val="Comment Text Char"/>
    <w:basedOn w:val="DefaultParagraphFont"/>
    <w:link w:val="CommentText"/>
    <w:uiPriority w:val="99"/>
    <w:semiHidden/>
    <w:rsid w:val="005E0FF3"/>
  </w:style>
  <w:style w:type="paragraph" w:styleId="CommentSubject">
    <w:name w:val="annotation subject"/>
    <w:basedOn w:val="CommentText"/>
    <w:next w:val="CommentText"/>
    <w:link w:val="CommentSubjectChar"/>
    <w:uiPriority w:val="99"/>
    <w:semiHidden/>
    <w:unhideWhenUsed/>
    <w:rsid w:val="005E0FF3"/>
    <w:rPr>
      <w:b/>
      <w:bCs/>
      <w:sz w:val="20"/>
      <w:szCs w:val="20"/>
    </w:rPr>
  </w:style>
  <w:style w:type="character" w:customStyle="1" w:styleId="CommentSubjectChar">
    <w:name w:val="Comment Subject Char"/>
    <w:basedOn w:val="CommentTextChar"/>
    <w:link w:val="CommentSubject"/>
    <w:uiPriority w:val="99"/>
    <w:semiHidden/>
    <w:rsid w:val="005E0FF3"/>
    <w:rPr>
      <w:b/>
      <w:bCs/>
      <w:sz w:val="20"/>
      <w:szCs w:val="20"/>
    </w:rPr>
  </w:style>
  <w:style w:type="paragraph" w:styleId="BalloonText">
    <w:name w:val="Balloon Text"/>
    <w:basedOn w:val="Normal"/>
    <w:link w:val="BalloonTextChar"/>
    <w:uiPriority w:val="99"/>
    <w:semiHidden/>
    <w:unhideWhenUsed/>
    <w:rsid w:val="005E0FF3"/>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E0FF3"/>
    <w:rPr>
      <w:rFonts w:ascii="Lucida Grande" w:hAnsi="Lucida Grande"/>
      <w:sz w:val="18"/>
      <w:szCs w:val="18"/>
    </w:rPr>
  </w:style>
  <w:style w:type="table" w:styleId="TableGrid">
    <w:name w:val="Table Grid"/>
    <w:basedOn w:val="TableNormal"/>
    <w:uiPriority w:val="59"/>
    <w:rsid w:val="00301F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301F61"/>
    <w:pPr>
      <w:spacing w:before="100" w:beforeAutospacing="1" w:after="100" w:afterAutospacing="1"/>
    </w:pPr>
    <w:rPr>
      <w:rFonts w:ascii="Times New Roman" w:eastAsia="Times New Roman" w:hAnsi="Times New Roman" w:cs="Times New Roman"/>
      <w:noProof/>
      <w:lang w:eastAsia="en-US"/>
    </w:rPr>
  </w:style>
  <w:style w:type="paragraph" w:customStyle="1" w:styleId="FreeForm">
    <w:name w:val="Free Form"/>
    <w:rsid w:val="00301F61"/>
    <w:pPr>
      <w:spacing w:after="0"/>
    </w:pPr>
    <w:rPr>
      <w:rFonts w:ascii="Helvetica" w:eastAsia="ヒラギノ角ゴ Pro W3" w:hAnsi="Helvetica" w:cs="Times New Roman"/>
      <w:noProof/>
      <w:color w:val="000000"/>
      <w:szCs w:val="20"/>
      <w:lang w:eastAsia="en-US"/>
    </w:rPr>
  </w:style>
  <w:style w:type="character" w:styleId="Hyperlink">
    <w:name w:val="Hyperlink"/>
    <w:basedOn w:val="DefaultParagraphFont"/>
    <w:uiPriority w:val="99"/>
    <w:unhideWhenUsed/>
    <w:rsid w:val="00ED23E6"/>
    <w:rPr>
      <w:color w:val="0000FF" w:themeColor="hyperlink"/>
      <w:u w:val="single"/>
    </w:rPr>
  </w:style>
  <w:style w:type="paragraph" w:styleId="NoSpacing">
    <w:name w:val="No Spacing"/>
    <w:uiPriority w:val="1"/>
    <w:qFormat/>
    <w:rsid w:val="00C667D5"/>
    <w:pPr>
      <w:spacing w:after="0"/>
    </w:pPr>
  </w:style>
  <w:style w:type="character" w:customStyle="1" w:styleId="tx">
    <w:name w:val="tx"/>
    <w:basedOn w:val="DefaultParagraphFont"/>
    <w:rsid w:val="00935223"/>
  </w:style>
  <w:style w:type="character" w:customStyle="1" w:styleId="Heading2Char">
    <w:name w:val="Heading 2 Char"/>
    <w:basedOn w:val="DefaultParagraphFont"/>
    <w:link w:val="Heading2"/>
    <w:uiPriority w:val="9"/>
    <w:rsid w:val="008B629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03"/>
  </w:style>
  <w:style w:type="paragraph" w:styleId="Heading2">
    <w:name w:val="heading 2"/>
    <w:basedOn w:val="Normal"/>
    <w:next w:val="Normal"/>
    <w:link w:val="Heading2Char"/>
    <w:uiPriority w:val="9"/>
    <w:unhideWhenUsed/>
    <w:qFormat/>
    <w:rsid w:val="008B62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055"/>
    <w:pPr>
      <w:ind w:left="720"/>
      <w:contextualSpacing/>
    </w:pPr>
  </w:style>
  <w:style w:type="paragraph" w:styleId="Bibliography">
    <w:name w:val="Bibliography"/>
    <w:basedOn w:val="Normal"/>
    <w:next w:val="Normal"/>
    <w:uiPriority w:val="37"/>
    <w:unhideWhenUsed/>
    <w:rsid w:val="00455D90"/>
    <w:pPr>
      <w:spacing w:after="0" w:line="480" w:lineRule="auto"/>
      <w:ind w:left="720" w:hanging="720"/>
    </w:pPr>
  </w:style>
  <w:style w:type="paragraph" w:styleId="Header">
    <w:name w:val="header"/>
    <w:basedOn w:val="Normal"/>
    <w:link w:val="HeaderChar"/>
    <w:uiPriority w:val="99"/>
    <w:unhideWhenUsed/>
    <w:rsid w:val="004C08A2"/>
    <w:pPr>
      <w:tabs>
        <w:tab w:val="center" w:pos="4320"/>
        <w:tab w:val="right" w:pos="8640"/>
      </w:tabs>
      <w:spacing w:after="0"/>
    </w:pPr>
  </w:style>
  <w:style w:type="character" w:customStyle="1" w:styleId="HeaderChar">
    <w:name w:val="Header Char"/>
    <w:basedOn w:val="DefaultParagraphFont"/>
    <w:link w:val="Header"/>
    <w:uiPriority w:val="99"/>
    <w:rsid w:val="004C08A2"/>
  </w:style>
  <w:style w:type="paragraph" w:styleId="Footer">
    <w:name w:val="footer"/>
    <w:basedOn w:val="Normal"/>
    <w:link w:val="FooterChar"/>
    <w:uiPriority w:val="99"/>
    <w:unhideWhenUsed/>
    <w:rsid w:val="004C08A2"/>
    <w:pPr>
      <w:tabs>
        <w:tab w:val="center" w:pos="4320"/>
        <w:tab w:val="right" w:pos="8640"/>
      </w:tabs>
      <w:spacing w:after="0"/>
    </w:pPr>
  </w:style>
  <w:style w:type="character" w:customStyle="1" w:styleId="FooterChar">
    <w:name w:val="Footer Char"/>
    <w:basedOn w:val="DefaultParagraphFont"/>
    <w:link w:val="Footer"/>
    <w:uiPriority w:val="99"/>
    <w:rsid w:val="004C08A2"/>
  </w:style>
  <w:style w:type="character" w:styleId="PageNumber">
    <w:name w:val="page number"/>
    <w:basedOn w:val="DefaultParagraphFont"/>
    <w:uiPriority w:val="99"/>
    <w:semiHidden/>
    <w:unhideWhenUsed/>
    <w:rsid w:val="004C08A2"/>
  </w:style>
  <w:style w:type="character" w:styleId="CommentReference">
    <w:name w:val="annotation reference"/>
    <w:basedOn w:val="DefaultParagraphFont"/>
    <w:uiPriority w:val="99"/>
    <w:semiHidden/>
    <w:unhideWhenUsed/>
    <w:rsid w:val="005E0FF3"/>
    <w:rPr>
      <w:sz w:val="18"/>
      <w:szCs w:val="18"/>
    </w:rPr>
  </w:style>
  <w:style w:type="paragraph" w:styleId="CommentText">
    <w:name w:val="annotation text"/>
    <w:basedOn w:val="Normal"/>
    <w:link w:val="CommentTextChar"/>
    <w:uiPriority w:val="99"/>
    <w:semiHidden/>
    <w:unhideWhenUsed/>
    <w:rsid w:val="005E0FF3"/>
  </w:style>
  <w:style w:type="character" w:customStyle="1" w:styleId="CommentTextChar">
    <w:name w:val="Comment Text Char"/>
    <w:basedOn w:val="DefaultParagraphFont"/>
    <w:link w:val="CommentText"/>
    <w:uiPriority w:val="99"/>
    <w:semiHidden/>
    <w:rsid w:val="005E0FF3"/>
  </w:style>
  <w:style w:type="paragraph" w:styleId="CommentSubject">
    <w:name w:val="annotation subject"/>
    <w:basedOn w:val="CommentText"/>
    <w:next w:val="CommentText"/>
    <w:link w:val="CommentSubjectChar"/>
    <w:uiPriority w:val="99"/>
    <w:semiHidden/>
    <w:unhideWhenUsed/>
    <w:rsid w:val="005E0FF3"/>
    <w:rPr>
      <w:b/>
      <w:bCs/>
      <w:sz w:val="20"/>
      <w:szCs w:val="20"/>
    </w:rPr>
  </w:style>
  <w:style w:type="character" w:customStyle="1" w:styleId="CommentSubjectChar">
    <w:name w:val="Comment Subject Char"/>
    <w:basedOn w:val="CommentTextChar"/>
    <w:link w:val="CommentSubject"/>
    <w:uiPriority w:val="99"/>
    <w:semiHidden/>
    <w:rsid w:val="005E0FF3"/>
    <w:rPr>
      <w:b/>
      <w:bCs/>
      <w:sz w:val="20"/>
      <w:szCs w:val="20"/>
    </w:rPr>
  </w:style>
  <w:style w:type="paragraph" w:styleId="BalloonText">
    <w:name w:val="Balloon Text"/>
    <w:basedOn w:val="Normal"/>
    <w:link w:val="BalloonTextChar"/>
    <w:uiPriority w:val="99"/>
    <w:semiHidden/>
    <w:unhideWhenUsed/>
    <w:rsid w:val="005E0FF3"/>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E0FF3"/>
    <w:rPr>
      <w:rFonts w:ascii="Lucida Grande" w:hAnsi="Lucida Grande"/>
      <w:sz w:val="18"/>
      <w:szCs w:val="18"/>
    </w:rPr>
  </w:style>
  <w:style w:type="table" w:styleId="TableGrid">
    <w:name w:val="Table Grid"/>
    <w:basedOn w:val="TableNormal"/>
    <w:uiPriority w:val="59"/>
    <w:rsid w:val="00301F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301F61"/>
    <w:pPr>
      <w:spacing w:before="100" w:beforeAutospacing="1" w:after="100" w:afterAutospacing="1"/>
    </w:pPr>
    <w:rPr>
      <w:rFonts w:ascii="Times New Roman" w:eastAsia="Times New Roman" w:hAnsi="Times New Roman" w:cs="Times New Roman"/>
      <w:noProof/>
      <w:lang w:eastAsia="en-US"/>
    </w:rPr>
  </w:style>
  <w:style w:type="paragraph" w:customStyle="1" w:styleId="FreeForm">
    <w:name w:val="Free Form"/>
    <w:rsid w:val="00301F61"/>
    <w:pPr>
      <w:spacing w:after="0"/>
    </w:pPr>
    <w:rPr>
      <w:rFonts w:ascii="Helvetica" w:eastAsia="ヒラギノ角ゴ Pro W3" w:hAnsi="Helvetica" w:cs="Times New Roman"/>
      <w:noProof/>
      <w:color w:val="000000"/>
      <w:szCs w:val="20"/>
      <w:lang w:eastAsia="en-US"/>
    </w:rPr>
  </w:style>
  <w:style w:type="character" w:styleId="Hyperlink">
    <w:name w:val="Hyperlink"/>
    <w:basedOn w:val="DefaultParagraphFont"/>
    <w:uiPriority w:val="99"/>
    <w:unhideWhenUsed/>
    <w:rsid w:val="00ED23E6"/>
    <w:rPr>
      <w:color w:val="0000FF" w:themeColor="hyperlink"/>
      <w:u w:val="single"/>
    </w:rPr>
  </w:style>
  <w:style w:type="paragraph" w:styleId="NoSpacing">
    <w:name w:val="No Spacing"/>
    <w:uiPriority w:val="1"/>
    <w:qFormat/>
    <w:rsid w:val="00C667D5"/>
    <w:pPr>
      <w:spacing w:after="0"/>
    </w:pPr>
  </w:style>
  <w:style w:type="character" w:customStyle="1" w:styleId="tx">
    <w:name w:val="tx"/>
    <w:basedOn w:val="DefaultParagraphFont"/>
    <w:rsid w:val="00935223"/>
  </w:style>
  <w:style w:type="character" w:customStyle="1" w:styleId="Heading2Char">
    <w:name w:val="Heading 2 Char"/>
    <w:basedOn w:val="DefaultParagraphFont"/>
    <w:link w:val="Heading2"/>
    <w:uiPriority w:val="9"/>
    <w:rsid w:val="008B629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267">
      <w:bodyDiv w:val="1"/>
      <w:marLeft w:val="0"/>
      <w:marRight w:val="0"/>
      <w:marTop w:val="0"/>
      <w:marBottom w:val="0"/>
      <w:divBdr>
        <w:top w:val="none" w:sz="0" w:space="0" w:color="auto"/>
        <w:left w:val="none" w:sz="0" w:space="0" w:color="auto"/>
        <w:bottom w:val="none" w:sz="0" w:space="0" w:color="auto"/>
        <w:right w:val="none" w:sz="0" w:space="0" w:color="auto"/>
      </w:divBdr>
    </w:div>
    <w:div w:id="64034594">
      <w:bodyDiv w:val="1"/>
      <w:marLeft w:val="0"/>
      <w:marRight w:val="0"/>
      <w:marTop w:val="0"/>
      <w:marBottom w:val="0"/>
      <w:divBdr>
        <w:top w:val="none" w:sz="0" w:space="0" w:color="auto"/>
        <w:left w:val="none" w:sz="0" w:space="0" w:color="auto"/>
        <w:bottom w:val="none" w:sz="0" w:space="0" w:color="auto"/>
        <w:right w:val="none" w:sz="0" w:space="0" w:color="auto"/>
      </w:divBdr>
      <w:divsChild>
        <w:div w:id="1407845706">
          <w:marLeft w:val="0"/>
          <w:marRight w:val="0"/>
          <w:marTop w:val="0"/>
          <w:marBottom w:val="0"/>
          <w:divBdr>
            <w:top w:val="none" w:sz="0" w:space="0" w:color="auto"/>
            <w:left w:val="none" w:sz="0" w:space="0" w:color="auto"/>
            <w:bottom w:val="none" w:sz="0" w:space="0" w:color="auto"/>
            <w:right w:val="none" w:sz="0" w:space="0" w:color="auto"/>
          </w:divBdr>
        </w:div>
      </w:divsChild>
    </w:div>
    <w:div w:id="84690324">
      <w:bodyDiv w:val="1"/>
      <w:marLeft w:val="0"/>
      <w:marRight w:val="0"/>
      <w:marTop w:val="0"/>
      <w:marBottom w:val="0"/>
      <w:divBdr>
        <w:top w:val="none" w:sz="0" w:space="0" w:color="auto"/>
        <w:left w:val="none" w:sz="0" w:space="0" w:color="auto"/>
        <w:bottom w:val="none" w:sz="0" w:space="0" w:color="auto"/>
        <w:right w:val="none" w:sz="0" w:space="0" w:color="auto"/>
      </w:divBdr>
      <w:divsChild>
        <w:div w:id="199589346">
          <w:marLeft w:val="0"/>
          <w:marRight w:val="0"/>
          <w:marTop w:val="0"/>
          <w:marBottom w:val="0"/>
          <w:divBdr>
            <w:top w:val="none" w:sz="0" w:space="0" w:color="auto"/>
            <w:left w:val="none" w:sz="0" w:space="0" w:color="auto"/>
            <w:bottom w:val="none" w:sz="0" w:space="0" w:color="auto"/>
            <w:right w:val="none" w:sz="0" w:space="0" w:color="auto"/>
          </w:divBdr>
        </w:div>
      </w:divsChild>
    </w:div>
    <w:div w:id="148526879">
      <w:bodyDiv w:val="1"/>
      <w:marLeft w:val="0"/>
      <w:marRight w:val="0"/>
      <w:marTop w:val="0"/>
      <w:marBottom w:val="0"/>
      <w:divBdr>
        <w:top w:val="none" w:sz="0" w:space="0" w:color="auto"/>
        <w:left w:val="none" w:sz="0" w:space="0" w:color="auto"/>
        <w:bottom w:val="none" w:sz="0" w:space="0" w:color="auto"/>
        <w:right w:val="none" w:sz="0" w:space="0" w:color="auto"/>
      </w:divBdr>
      <w:divsChild>
        <w:div w:id="1327593834">
          <w:marLeft w:val="0"/>
          <w:marRight w:val="0"/>
          <w:marTop w:val="0"/>
          <w:marBottom w:val="0"/>
          <w:divBdr>
            <w:top w:val="none" w:sz="0" w:space="0" w:color="auto"/>
            <w:left w:val="none" w:sz="0" w:space="0" w:color="auto"/>
            <w:bottom w:val="none" w:sz="0" w:space="0" w:color="auto"/>
            <w:right w:val="none" w:sz="0" w:space="0" w:color="auto"/>
          </w:divBdr>
        </w:div>
      </w:divsChild>
    </w:div>
    <w:div w:id="239558130">
      <w:bodyDiv w:val="1"/>
      <w:marLeft w:val="0"/>
      <w:marRight w:val="0"/>
      <w:marTop w:val="0"/>
      <w:marBottom w:val="0"/>
      <w:divBdr>
        <w:top w:val="none" w:sz="0" w:space="0" w:color="auto"/>
        <w:left w:val="none" w:sz="0" w:space="0" w:color="auto"/>
        <w:bottom w:val="none" w:sz="0" w:space="0" w:color="auto"/>
        <w:right w:val="none" w:sz="0" w:space="0" w:color="auto"/>
      </w:divBdr>
    </w:div>
    <w:div w:id="254290193">
      <w:bodyDiv w:val="1"/>
      <w:marLeft w:val="0"/>
      <w:marRight w:val="0"/>
      <w:marTop w:val="0"/>
      <w:marBottom w:val="0"/>
      <w:divBdr>
        <w:top w:val="none" w:sz="0" w:space="0" w:color="auto"/>
        <w:left w:val="none" w:sz="0" w:space="0" w:color="auto"/>
        <w:bottom w:val="none" w:sz="0" w:space="0" w:color="auto"/>
        <w:right w:val="none" w:sz="0" w:space="0" w:color="auto"/>
      </w:divBdr>
      <w:divsChild>
        <w:div w:id="1333487810">
          <w:marLeft w:val="0"/>
          <w:marRight w:val="0"/>
          <w:marTop w:val="0"/>
          <w:marBottom w:val="0"/>
          <w:divBdr>
            <w:top w:val="none" w:sz="0" w:space="0" w:color="auto"/>
            <w:left w:val="none" w:sz="0" w:space="0" w:color="auto"/>
            <w:bottom w:val="none" w:sz="0" w:space="0" w:color="auto"/>
            <w:right w:val="none" w:sz="0" w:space="0" w:color="auto"/>
          </w:divBdr>
        </w:div>
      </w:divsChild>
    </w:div>
    <w:div w:id="307445204">
      <w:bodyDiv w:val="1"/>
      <w:marLeft w:val="0"/>
      <w:marRight w:val="0"/>
      <w:marTop w:val="0"/>
      <w:marBottom w:val="0"/>
      <w:divBdr>
        <w:top w:val="none" w:sz="0" w:space="0" w:color="auto"/>
        <w:left w:val="none" w:sz="0" w:space="0" w:color="auto"/>
        <w:bottom w:val="none" w:sz="0" w:space="0" w:color="auto"/>
        <w:right w:val="none" w:sz="0" w:space="0" w:color="auto"/>
      </w:divBdr>
    </w:div>
    <w:div w:id="367533748">
      <w:bodyDiv w:val="1"/>
      <w:marLeft w:val="0"/>
      <w:marRight w:val="0"/>
      <w:marTop w:val="0"/>
      <w:marBottom w:val="0"/>
      <w:divBdr>
        <w:top w:val="none" w:sz="0" w:space="0" w:color="auto"/>
        <w:left w:val="none" w:sz="0" w:space="0" w:color="auto"/>
        <w:bottom w:val="none" w:sz="0" w:space="0" w:color="auto"/>
        <w:right w:val="none" w:sz="0" w:space="0" w:color="auto"/>
      </w:divBdr>
    </w:div>
    <w:div w:id="693460273">
      <w:bodyDiv w:val="1"/>
      <w:marLeft w:val="0"/>
      <w:marRight w:val="0"/>
      <w:marTop w:val="0"/>
      <w:marBottom w:val="0"/>
      <w:divBdr>
        <w:top w:val="none" w:sz="0" w:space="0" w:color="auto"/>
        <w:left w:val="none" w:sz="0" w:space="0" w:color="auto"/>
        <w:bottom w:val="none" w:sz="0" w:space="0" w:color="auto"/>
        <w:right w:val="none" w:sz="0" w:space="0" w:color="auto"/>
      </w:divBdr>
    </w:div>
    <w:div w:id="1025985009">
      <w:bodyDiv w:val="1"/>
      <w:marLeft w:val="0"/>
      <w:marRight w:val="0"/>
      <w:marTop w:val="0"/>
      <w:marBottom w:val="0"/>
      <w:divBdr>
        <w:top w:val="none" w:sz="0" w:space="0" w:color="auto"/>
        <w:left w:val="none" w:sz="0" w:space="0" w:color="auto"/>
        <w:bottom w:val="none" w:sz="0" w:space="0" w:color="auto"/>
        <w:right w:val="none" w:sz="0" w:space="0" w:color="auto"/>
      </w:divBdr>
    </w:div>
    <w:div w:id="1192567721">
      <w:bodyDiv w:val="1"/>
      <w:marLeft w:val="0"/>
      <w:marRight w:val="0"/>
      <w:marTop w:val="0"/>
      <w:marBottom w:val="0"/>
      <w:divBdr>
        <w:top w:val="none" w:sz="0" w:space="0" w:color="auto"/>
        <w:left w:val="none" w:sz="0" w:space="0" w:color="auto"/>
        <w:bottom w:val="none" w:sz="0" w:space="0" w:color="auto"/>
        <w:right w:val="none" w:sz="0" w:space="0" w:color="auto"/>
      </w:divBdr>
    </w:div>
    <w:div w:id="1194613926">
      <w:bodyDiv w:val="1"/>
      <w:marLeft w:val="0"/>
      <w:marRight w:val="0"/>
      <w:marTop w:val="0"/>
      <w:marBottom w:val="0"/>
      <w:divBdr>
        <w:top w:val="none" w:sz="0" w:space="0" w:color="auto"/>
        <w:left w:val="none" w:sz="0" w:space="0" w:color="auto"/>
        <w:bottom w:val="none" w:sz="0" w:space="0" w:color="auto"/>
        <w:right w:val="none" w:sz="0" w:space="0" w:color="auto"/>
      </w:divBdr>
    </w:div>
    <w:div w:id="1304383425">
      <w:bodyDiv w:val="1"/>
      <w:marLeft w:val="0"/>
      <w:marRight w:val="0"/>
      <w:marTop w:val="0"/>
      <w:marBottom w:val="0"/>
      <w:divBdr>
        <w:top w:val="none" w:sz="0" w:space="0" w:color="auto"/>
        <w:left w:val="none" w:sz="0" w:space="0" w:color="auto"/>
        <w:bottom w:val="none" w:sz="0" w:space="0" w:color="auto"/>
        <w:right w:val="none" w:sz="0" w:space="0" w:color="auto"/>
      </w:divBdr>
      <w:divsChild>
        <w:div w:id="154879957">
          <w:marLeft w:val="0"/>
          <w:marRight w:val="0"/>
          <w:marTop w:val="0"/>
          <w:marBottom w:val="0"/>
          <w:divBdr>
            <w:top w:val="none" w:sz="0" w:space="0" w:color="auto"/>
            <w:left w:val="none" w:sz="0" w:space="0" w:color="auto"/>
            <w:bottom w:val="none" w:sz="0" w:space="0" w:color="auto"/>
            <w:right w:val="none" w:sz="0" w:space="0" w:color="auto"/>
          </w:divBdr>
        </w:div>
      </w:divsChild>
    </w:div>
    <w:div w:id="1394935250">
      <w:bodyDiv w:val="1"/>
      <w:marLeft w:val="0"/>
      <w:marRight w:val="0"/>
      <w:marTop w:val="0"/>
      <w:marBottom w:val="0"/>
      <w:divBdr>
        <w:top w:val="none" w:sz="0" w:space="0" w:color="auto"/>
        <w:left w:val="none" w:sz="0" w:space="0" w:color="auto"/>
        <w:bottom w:val="none" w:sz="0" w:space="0" w:color="auto"/>
        <w:right w:val="none" w:sz="0" w:space="0" w:color="auto"/>
      </w:divBdr>
      <w:divsChild>
        <w:div w:id="872111953">
          <w:marLeft w:val="0"/>
          <w:marRight w:val="0"/>
          <w:marTop w:val="0"/>
          <w:marBottom w:val="0"/>
          <w:divBdr>
            <w:top w:val="none" w:sz="0" w:space="0" w:color="auto"/>
            <w:left w:val="none" w:sz="0" w:space="0" w:color="auto"/>
            <w:bottom w:val="none" w:sz="0" w:space="0" w:color="auto"/>
            <w:right w:val="none" w:sz="0" w:space="0" w:color="auto"/>
          </w:divBdr>
        </w:div>
      </w:divsChild>
    </w:div>
    <w:div w:id="1528523132">
      <w:bodyDiv w:val="1"/>
      <w:marLeft w:val="0"/>
      <w:marRight w:val="0"/>
      <w:marTop w:val="0"/>
      <w:marBottom w:val="0"/>
      <w:divBdr>
        <w:top w:val="none" w:sz="0" w:space="0" w:color="auto"/>
        <w:left w:val="none" w:sz="0" w:space="0" w:color="auto"/>
        <w:bottom w:val="none" w:sz="0" w:space="0" w:color="auto"/>
        <w:right w:val="none" w:sz="0" w:space="0" w:color="auto"/>
      </w:divBdr>
    </w:div>
    <w:div w:id="1644117859">
      <w:bodyDiv w:val="1"/>
      <w:marLeft w:val="0"/>
      <w:marRight w:val="0"/>
      <w:marTop w:val="0"/>
      <w:marBottom w:val="0"/>
      <w:divBdr>
        <w:top w:val="none" w:sz="0" w:space="0" w:color="auto"/>
        <w:left w:val="none" w:sz="0" w:space="0" w:color="auto"/>
        <w:bottom w:val="none" w:sz="0" w:space="0" w:color="auto"/>
        <w:right w:val="none" w:sz="0" w:space="0" w:color="auto"/>
      </w:divBdr>
      <w:divsChild>
        <w:div w:id="1084644017">
          <w:marLeft w:val="0"/>
          <w:marRight w:val="0"/>
          <w:marTop w:val="0"/>
          <w:marBottom w:val="0"/>
          <w:divBdr>
            <w:top w:val="none" w:sz="0" w:space="0" w:color="auto"/>
            <w:left w:val="none" w:sz="0" w:space="0" w:color="auto"/>
            <w:bottom w:val="none" w:sz="0" w:space="0" w:color="auto"/>
            <w:right w:val="none" w:sz="0" w:space="0" w:color="auto"/>
          </w:divBdr>
        </w:div>
      </w:divsChild>
    </w:div>
    <w:div w:id="1667510321">
      <w:bodyDiv w:val="1"/>
      <w:marLeft w:val="0"/>
      <w:marRight w:val="0"/>
      <w:marTop w:val="0"/>
      <w:marBottom w:val="0"/>
      <w:divBdr>
        <w:top w:val="none" w:sz="0" w:space="0" w:color="auto"/>
        <w:left w:val="none" w:sz="0" w:space="0" w:color="auto"/>
        <w:bottom w:val="none" w:sz="0" w:space="0" w:color="auto"/>
        <w:right w:val="none" w:sz="0" w:space="0" w:color="auto"/>
      </w:divBdr>
      <w:divsChild>
        <w:div w:id="1138182635">
          <w:marLeft w:val="0"/>
          <w:marRight w:val="0"/>
          <w:marTop w:val="0"/>
          <w:marBottom w:val="0"/>
          <w:divBdr>
            <w:top w:val="none" w:sz="0" w:space="0" w:color="auto"/>
            <w:left w:val="none" w:sz="0" w:space="0" w:color="auto"/>
            <w:bottom w:val="none" w:sz="0" w:space="0" w:color="auto"/>
            <w:right w:val="none" w:sz="0" w:space="0" w:color="auto"/>
          </w:divBdr>
        </w:div>
      </w:divsChild>
    </w:div>
    <w:div w:id="1707869376">
      <w:bodyDiv w:val="1"/>
      <w:marLeft w:val="0"/>
      <w:marRight w:val="0"/>
      <w:marTop w:val="0"/>
      <w:marBottom w:val="0"/>
      <w:divBdr>
        <w:top w:val="none" w:sz="0" w:space="0" w:color="auto"/>
        <w:left w:val="none" w:sz="0" w:space="0" w:color="auto"/>
        <w:bottom w:val="none" w:sz="0" w:space="0" w:color="auto"/>
        <w:right w:val="none" w:sz="0" w:space="0" w:color="auto"/>
      </w:divBdr>
    </w:div>
    <w:div w:id="1728524668">
      <w:bodyDiv w:val="1"/>
      <w:marLeft w:val="0"/>
      <w:marRight w:val="0"/>
      <w:marTop w:val="0"/>
      <w:marBottom w:val="0"/>
      <w:divBdr>
        <w:top w:val="none" w:sz="0" w:space="0" w:color="auto"/>
        <w:left w:val="none" w:sz="0" w:space="0" w:color="auto"/>
        <w:bottom w:val="none" w:sz="0" w:space="0" w:color="auto"/>
        <w:right w:val="none" w:sz="0" w:space="0" w:color="auto"/>
      </w:divBdr>
    </w:div>
    <w:div w:id="1743018005">
      <w:bodyDiv w:val="1"/>
      <w:marLeft w:val="0"/>
      <w:marRight w:val="0"/>
      <w:marTop w:val="0"/>
      <w:marBottom w:val="0"/>
      <w:divBdr>
        <w:top w:val="none" w:sz="0" w:space="0" w:color="auto"/>
        <w:left w:val="none" w:sz="0" w:space="0" w:color="auto"/>
        <w:bottom w:val="none" w:sz="0" w:space="0" w:color="auto"/>
        <w:right w:val="none" w:sz="0" w:space="0" w:color="auto"/>
      </w:divBdr>
    </w:div>
    <w:div w:id="1782454715">
      <w:bodyDiv w:val="1"/>
      <w:marLeft w:val="0"/>
      <w:marRight w:val="0"/>
      <w:marTop w:val="0"/>
      <w:marBottom w:val="0"/>
      <w:divBdr>
        <w:top w:val="none" w:sz="0" w:space="0" w:color="auto"/>
        <w:left w:val="none" w:sz="0" w:space="0" w:color="auto"/>
        <w:bottom w:val="none" w:sz="0" w:space="0" w:color="auto"/>
        <w:right w:val="none" w:sz="0" w:space="0" w:color="auto"/>
      </w:divBdr>
    </w:div>
    <w:div w:id="1819613136">
      <w:bodyDiv w:val="1"/>
      <w:marLeft w:val="0"/>
      <w:marRight w:val="0"/>
      <w:marTop w:val="0"/>
      <w:marBottom w:val="0"/>
      <w:divBdr>
        <w:top w:val="none" w:sz="0" w:space="0" w:color="auto"/>
        <w:left w:val="none" w:sz="0" w:space="0" w:color="auto"/>
        <w:bottom w:val="none" w:sz="0" w:space="0" w:color="auto"/>
        <w:right w:val="none" w:sz="0" w:space="0" w:color="auto"/>
      </w:divBdr>
    </w:div>
    <w:div w:id="2050032517">
      <w:bodyDiv w:val="1"/>
      <w:marLeft w:val="0"/>
      <w:marRight w:val="0"/>
      <w:marTop w:val="0"/>
      <w:marBottom w:val="0"/>
      <w:divBdr>
        <w:top w:val="none" w:sz="0" w:space="0" w:color="auto"/>
        <w:left w:val="none" w:sz="0" w:space="0" w:color="auto"/>
        <w:bottom w:val="none" w:sz="0" w:space="0" w:color="auto"/>
        <w:right w:val="none" w:sz="0" w:space="0" w:color="auto"/>
      </w:divBdr>
      <w:divsChild>
        <w:div w:id="16539465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23391-6A80-4C5C-84ED-803D7940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4716</Words>
  <Characters>26883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31536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Spencer</dc:creator>
  <cp:lastModifiedBy>Neal Wallace</cp:lastModifiedBy>
  <cp:revision>2</cp:revision>
  <cp:lastPrinted>2016-04-11T19:31:00Z</cp:lastPrinted>
  <dcterms:created xsi:type="dcterms:W3CDTF">2016-04-18T19:19:00Z</dcterms:created>
  <dcterms:modified xsi:type="dcterms:W3CDTF">2016-04-18T19:19:00Z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zotero-version="4.0.26.4"&gt;&lt;session id="jHZs88kr"/&gt;&lt;style id="http://www.zotero.org/styles/apa" hasBibliography="1" bibliographyStyleHasBeenSet="1"/&gt;&lt;prefs&gt;&lt;pref name="fieldType" value="Field"/&gt;&lt;pref name="storeReferences" value="tru</vt:lpwstr>
  </property>
  <property fmtid="{D5CDD505-2E9C-101B-9397-08002B2CF9AE}" pid="3" name="ZOTERO_PREF_2">
    <vt:lpwstr>e"/&gt;&lt;pref name="automaticJournalAbbreviations" value="true"/&gt;&lt;pref name="noteType" value="0"/&gt;&lt;/prefs&gt;&lt;/data&gt;</vt:lpwstr>
  </property>
</Properties>
</file>