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D76F5" w14:textId="248859CC" w:rsidR="005F74BA" w:rsidRDefault="0057354F" w:rsidP="005A0B97">
      <w:pPr>
        <w:spacing w:after="0" w:line="240" w:lineRule="auto"/>
        <w:jc w:val="center"/>
      </w:pPr>
      <w:r>
        <w:t>Policy and Implementation: What are the boundaries?</w:t>
      </w:r>
    </w:p>
    <w:p w14:paraId="2081AE34" w14:textId="2B683E47" w:rsidR="005F74BA" w:rsidRDefault="005F74BA" w:rsidP="005A0B97">
      <w:pPr>
        <w:spacing w:after="0" w:line="240" w:lineRule="auto"/>
        <w:jc w:val="center"/>
      </w:pPr>
      <w:r>
        <w:t xml:space="preserve">HSMP 675 Policy Brief </w:t>
      </w:r>
      <w:r w:rsidR="0057354F">
        <w:t>2</w:t>
      </w:r>
      <w:r>
        <w:t xml:space="preserve"> Overview</w:t>
      </w:r>
    </w:p>
    <w:p w14:paraId="45F8EE19" w14:textId="4FC6D238" w:rsidR="005F74BA" w:rsidRDefault="005F74BA" w:rsidP="005A0B97">
      <w:pPr>
        <w:spacing w:after="0" w:line="240" w:lineRule="auto"/>
        <w:jc w:val="center"/>
      </w:pPr>
      <w:r>
        <w:t>Morgan J. Fuoco</w:t>
      </w:r>
    </w:p>
    <w:p w14:paraId="52EB4E7C" w14:textId="77777777" w:rsidR="005A0B97" w:rsidRDefault="005A0B97" w:rsidP="005F74BA">
      <w:pPr>
        <w:rPr>
          <w:b/>
          <w:u w:val="single"/>
        </w:rPr>
      </w:pPr>
    </w:p>
    <w:p w14:paraId="197B9DFD" w14:textId="17848B93" w:rsidR="005F74BA" w:rsidRDefault="005F74BA" w:rsidP="005F74BA">
      <w:r>
        <w:rPr>
          <w:b/>
          <w:u w:val="single"/>
        </w:rPr>
        <w:t>Overview</w:t>
      </w:r>
    </w:p>
    <w:p w14:paraId="2C100807" w14:textId="77777777" w:rsidR="002D16AE" w:rsidRDefault="001F08D9" w:rsidP="002D16AE">
      <w:pPr>
        <w:spacing w:after="0"/>
      </w:pPr>
      <w:r>
        <w:tab/>
      </w:r>
      <w:r w:rsidR="00B3716A">
        <w:t xml:space="preserve">CCO 2.0 </w:t>
      </w:r>
      <w:r w:rsidR="00483622">
        <w:t>prioritizes the following 4 areas</w:t>
      </w:r>
      <w:r w:rsidR="006E7422">
        <w:t>, including</w:t>
      </w:r>
      <w:r w:rsidR="007B1E09">
        <w:t xml:space="preserve"> </w:t>
      </w:r>
      <w:r w:rsidR="006B7E0B">
        <w:t>a</w:t>
      </w:r>
      <w:r w:rsidR="007B1E09">
        <w:t xml:space="preserve"> </w:t>
      </w:r>
      <w:r w:rsidR="00471A45">
        <w:t>Social Determinants and Health Equity (SDOH-HE) frame</w:t>
      </w:r>
      <w:r w:rsidR="006B7E0B">
        <w:t>. T</w:t>
      </w:r>
      <w:r w:rsidR="00471A45">
        <w:t xml:space="preserve">he policy states that CCOs must invest 1% annually on social determinants of health, health equity, </w:t>
      </w:r>
      <w:r w:rsidR="00E369D8">
        <w:t>and disparities in communities</w:t>
      </w:r>
      <w:r w:rsidR="006B7E0B">
        <w:t xml:space="preserve"> they serve</w:t>
      </w:r>
      <w:r w:rsidR="00E369D8">
        <w:t xml:space="preserve">. The policy recommends that CCOs </w:t>
      </w:r>
      <w:r w:rsidR="0000742E">
        <w:t>enter into partnerships with community organ</w:t>
      </w:r>
      <w:r w:rsidR="000379CB">
        <w:t>i</w:t>
      </w:r>
      <w:r w:rsidR="0000742E">
        <w:t>zations</w:t>
      </w:r>
      <w:r w:rsidR="00F914B7">
        <w:t xml:space="preserve"> and public health departments to further the reach of their work. </w:t>
      </w:r>
      <w:r w:rsidR="00F613EA">
        <w:t xml:space="preserve">Additionally, CCO 2.0 requires a portion of the CCOs’ net income be spent on the statewide housing priority: housing. </w:t>
      </w:r>
      <w:r w:rsidR="00D13BD6">
        <w:t xml:space="preserve">The policy does not indicate that this investment is in addition to the 1% required investment in SDOH-HE initiatives. </w:t>
      </w:r>
      <w:r w:rsidR="00F9258B">
        <w:t xml:space="preserve"> </w:t>
      </w:r>
      <w:r w:rsidR="000379CB">
        <w:t xml:space="preserve">If the CCO chooses to invest in a SDOH-HE initiative different from the statewide </w:t>
      </w:r>
      <w:r w:rsidR="00F24934">
        <w:t>housing project, they are to perform a community health assessment</w:t>
      </w:r>
      <w:r w:rsidR="00323260">
        <w:t xml:space="preserve"> (CHA)</w:t>
      </w:r>
      <w:r w:rsidR="00F24934">
        <w:t xml:space="preserve"> and create a community health implementation plan as a result. </w:t>
      </w:r>
      <w:r w:rsidR="00CF45F8">
        <w:t xml:space="preserve">The implementation plan can be focused on </w:t>
      </w:r>
      <w:r w:rsidR="00696332">
        <w:t>any number of things that will address the communities</w:t>
      </w:r>
      <w:r w:rsidR="00BD3E0C">
        <w:t>’</w:t>
      </w:r>
      <w:r w:rsidR="00696332">
        <w:t xml:space="preserve"> needs related to social determinants of health and health equity. </w:t>
      </w:r>
      <w:r w:rsidR="003F1DDC">
        <w:t>The policy also does not limit the method by which a plan is developed and implemented</w:t>
      </w:r>
      <w:r w:rsidR="00323260">
        <w:t>. F</w:t>
      </w:r>
      <w:r w:rsidR="006C4656">
        <w:t xml:space="preserve">or example, they can rely on social services, public health departments, or incorporated traditional health workers, </w:t>
      </w:r>
      <w:r w:rsidR="003F1DDC">
        <w:t xml:space="preserve">but </w:t>
      </w:r>
      <w:r w:rsidR="006C4656">
        <w:t xml:space="preserve">the CCO </w:t>
      </w:r>
      <w:r w:rsidR="00323260">
        <w:t>will lead</w:t>
      </w:r>
      <w:r w:rsidR="006C4656">
        <w:t xml:space="preserve"> the initiative.</w:t>
      </w:r>
    </w:p>
    <w:p w14:paraId="41DFC21B" w14:textId="663F78F4" w:rsidR="000379CB" w:rsidRDefault="00696332" w:rsidP="002D16AE">
      <w:pPr>
        <w:spacing w:after="0"/>
      </w:pPr>
      <w:r>
        <w:t xml:space="preserve"> </w:t>
      </w:r>
    </w:p>
    <w:p w14:paraId="745AE732" w14:textId="462268C4" w:rsidR="00323260" w:rsidRDefault="002006A6" w:rsidP="002D16AE">
      <w:pPr>
        <w:spacing w:after="0"/>
        <w:ind w:firstLine="720"/>
      </w:pPr>
      <w:r>
        <w:t>It is expected that a portion of the 1% investment will go directly to the community part</w:t>
      </w:r>
      <w:r w:rsidR="0062167B">
        <w:t>ners,</w:t>
      </w:r>
      <w:r w:rsidR="002B55BA">
        <w:t xml:space="preserve"> if</w:t>
      </w:r>
    </w:p>
    <w:p w14:paraId="3E799E26" w14:textId="7E10B0C8" w:rsidR="002006A6" w:rsidRDefault="0062167B" w:rsidP="002D16AE">
      <w:pPr>
        <w:spacing w:after="0"/>
      </w:pPr>
      <w:r>
        <w:t xml:space="preserve">any exist. CCO 2.0 also specifies that by 2021, there will be specific metrics developed </w:t>
      </w:r>
      <w:r w:rsidR="00007AB0">
        <w:t>for SDOH-HE projects, and if CCOs meet or exceed the threshold for those metrics</w:t>
      </w:r>
      <w:r w:rsidR="00491FA6">
        <w:t xml:space="preserve">, they will receive a </w:t>
      </w:r>
      <w:r w:rsidR="00E5482E">
        <w:t>SDOH-HE Bonus Fund payment, which will be used to further invest in SDOH-HE work.</w:t>
      </w:r>
    </w:p>
    <w:p w14:paraId="615AEA5B" w14:textId="77777777" w:rsidR="002D16AE" w:rsidRDefault="002D16AE" w:rsidP="002D16AE">
      <w:pPr>
        <w:spacing w:after="0"/>
      </w:pPr>
    </w:p>
    <w:p w14:paraId="683A57BC" w14:textId="77777777" w:rsidR="002B55BA" w:rsidRDefault="0039478F" w:rsidP="002D16AE">
      <w:pPr>
        <w:spacing w:after="0"/>
        <w:ind w:firstLine="720"/>
      </w:pPr>
      <w:r>
        <w:t>One assumption this policy makes about the CCO and SDOH-HE partnership is that the partner</w:t>
      </w:r>
      <w:r w:rsidR="002B55BA">
        <w:t xml:space="preserve">s </w:t>
      </w:r>
    </w:p>
    <w:p w14:paraId="41D06C22" w14:textId="78819BBE" w:rsidR="002D16AE" w:rsidRDefault="0039478F" w:rsidP="002D16AE">
      <w:pPr>
        <w:spacing w:after="0"/>
      </w:pPr>
      <w:r>
        <w:t>will be getting two main benefits:</w:t>
      </w:r>
      <w:r w:rsidR="002D16AE">
        <w:t xml:space="preserve"> </w:t>
      </w:r>
      <w:r w:rsidR="00CF45F8">
        <w:t>Increased investment</w:t>
      </w:r>
      <w:r w:rsidR="0072164B">
        <w:t xml:space="preserve"> in their organization</w:t>
      </w:r>
      <w:r w:rsidR="002D16AE">
        <w:t xml:space="preserve"> and/or m</w:t>
      </w:r>
      <w:r w:rsidR="0072164B">
        <w:t>utual benefit from the CHA, which the community may desire, but not have the resources for.</w:t>
      </w:r>
    </w:p>
    <w:p w14:paraId="2D4D93B5" w14:textId="77777777" w:rsidR="002D16AE" w:rsidRDefault="002D16AE" w:rsidP="002D16AE">
      <w:pPr>
        <w:spacing w:after="0"/>
        <w:ind w:left="720"/>
      </w:pPr>
    </w:p>
    <w:p w14:paraId="75B4E3F9" w14:textId="77777777" w:rsidR="002D16AE" w:rsidRDefault="006270F6" w:rsidP="002D16AE">
      <w:pPr>
        <w:spacing w:after="0"/>
        <w:ind w:firstLine="720"/>
      </w:pPr>
      <w:r>
        <w:t>The state is in the process of developing a rule around what defines an SDOH-HE partnership</w:t>
      </w:r>
    </w:p>
    <w:p w14:paraId="6F105817" w14:textId="1612E6AE" w:rsidR="006270F6" w:rsidRDefault="006270F6" w:rsidP="002D16AE">
      <w:pPr>
        <w:spacing w:after="0"/>
      </w:pPr>
      <w:r>
        <w:t>and what the terms of that partnership should be</w:t>
      </w:r>
      <w:r w:rsidR="00FC065B">
        <w:t xml:space="preserve">; however, there is no expectation that the </w:t>
      </w:r>
      <w:r w:rsidR="0071511B">
        <w:t xml:space="preserve">rule will outline </w:t>
      </w:r>
      <w:proofErr w:type="gramStart"/>
      <w:r w:rsidR="0071511B">
        <w:t>all of</w:t>
      </w:r>
      <w:proofErr w:type="gramEnd"/>
      <w:r w:rsidR="0071511B">
        <w:t xml:space="preserve"> the many iterations of what this </w:t>
      </w:r>
      <w:r w:rsidR="002006A6">
        <w:t>cooperation could look like</w:t>
      </w:r>
      <w:r w:rsidR="00657891">
        <w:t xml:space="preserve"> and how the work will be implemented.</w:t>
      </w:r>
      <w:r w:rsidR="005F5250">
        <w:t xml:space="preserve"> OHA has produced a model contract that devotes a section to what the CCOs responsibilities are to OHA</w:t>
      </w:r>
      <w:r w:rsidR="002D16AE">
        <w:t xml:space="preserve"> if they form a partnership with a SDOH-HE organization.</w:t>
      </w:r>
    </w:p>
    <w:p w14:paraId="6E285DD3" w14:textId="77777777" w:rsidR="002D16AE" w:rsidRDefault="002D16AE" w:rsidP="002D16AE">
      <w:pPr>
        <w:spacing w:after="0"/>
      </w:pPr>
    </w:p>
    <w:p w14:paraId="3E0AEDF4" w14:textId="3209922C" w:rsidR="005F74BA" w:rsidRDefault="005F74BA" w:rsidP="005F74BA">
      <w:r>
        <w:rPr>
          <w:b/>
          <w:u w:val="single"/>
        </w:rPr>
        <w:t>Questions</w:t>
      </w:r>
    </w:p>
    <w:p w14:paraId="56C64428" w14:textId="52407013" w:rsidR="0001639C" w:rsidRDefault="00315772" w:rsidP="0001639C">
      <w:pPr>
        <w:pStyle w:val="ListParagraph"/>
        <w:numPr>
          <w:ilvl w:val="0"/>
          <w:numId w:val="5"/>
        </w:numPr>
      </w:pPr>
      <w:r>
        <w:t xml:space="preserve">How could a policy be better crafted to </w:t>
      </w:r>
      <w:r w:rsidR="00A65ADD">
        <w:t>direct funding to SDOH initiatives</w:t>
      </w:r>
      <w:r w:rsidR="009138B6">
        <w:t xml:space="preserve"> instead of requiring only 1% investment and a priority area?</w:t>
      </w:r>
    </w:p>
    <w:p w14:paraId="0D186D89" w14:textId="411795C6" w:rsidR="009138B6" w:rsidRDefault="009138B6" w:rsidP="0001639C">
      <w:pPr>
        <w:pStyle w:val="ListParagraph"/>
        <w:numPr>
          <w:ilvl w:val="0"/>
          <w:numId w:val="5"/>
        </w:numPr>
      </w:pPr>
      <w:r>
        <w:t>Are these assumptions about the benefits to partners valid</w:t>
      </w:r>
      <w:r w:rsidR="008C62B8">
        <w:t xml:space="preserve"> or do they serve to medicalize social services by </w:t>
      </w:r>
      <w:r w:rsidR="00EF33AE">
        <w:t>creating a power dynamic between</w:t>
      </w:r>
      <w:r w:rsidR="008C62B8">
        <w:t xml:space="preserve"> CCOs </w:t>
      </w:r>
      <w:r w:rsidR="00EF33AE">
        <w:t>and</w:t>
      </w:r>
      <w:r w:rsidR="008C62B8">
        <w:t xml:space="preserve"> </w:t>
      </w:r>
      <w:r w:rsidR="00EF33AE">
        <w:t>their partners</w:t>
      </w:r>
      <w:r>
        <w:t>?</w:t>
      </w:r>
    </w:p>
    <w:p w14:paraId="1229268A" w14:textId="1A7FB510" w:rsidR="00CF625F" w:rsidRDefault="005443C1" w:rsidP="003F72B1">
      <w:pPr>
        <w:pStyle w:val="ListParagraph"/>
        <w:numPr>
          <w:ilvl w:val="0"/>
          <w:numId w:val="5"/>
        </w:numPr>
      </w:pPr>
      <w:r>
        <w:t xml:space="preserve">Is it the role of policy to specify the details of partnerships or is that </w:t>
      </w:r>
      <w:r w:rsidR="00983B07">
        <w:t>left to implementation? Is there a happy medium?</w:t>
      </w:r>
    </w:p>
    <w:p w14:paraId="58DCAF12" w14:textId="77777777" w:rsidR="00917BE9" w:rsidRDefault="00917BE9" w:rsidP="00917BE9">
      <w:pPr>
        <w:rPr>
          <w:b/>
          <w:u w:val="single"/>
        </w:rPr>
      </w:pPr>
    </w:p>
    <w:p w14:paraId="0D36528F" w14:textId="00A1C3AF" w:rsidR="009B7919" w:rsidRDefault="00917BE9" w:rsidP="00917BE9">
      <w:bookmarkStart w:id="0" w:name="_GoBack"/>
      <w:bookmarkEnd w:id="0"/>
      <w:r>
        <w:rPr>
          <w:b/>
          <w:u w:val="single"/>
        </w:rPr>
        <w:lastRenderedPageBreak/>
        <w:t>Readings</w:t>
      </w:r>
    </w:p>
    <w:p w14:paraId="7072F159" w14:textId="77777777" w:rsidR="00917BE9" w:rsidRDefault="00917BE9" w:rsidP="00917BE9">
      <w:pPr>
        <w:rPr>
          <w:rFonts w:ascii="Arial" w:hAnsi="Arial" w:cs="Arial"/>
          <w:color w:val="222222"/>
        </w:rPr>
      </w:pPr>
      <w:hyperlink r:id="rId5" w:history="1">
        <w:r>
          <w:rPr>
            <w:rStyle w:val="Hyperlink"/>
            <w:rFonts w:ascii="Arial" w:hAnsi="Arial" w:cs="Arial"/>
            <w:color w:val="1155CC"/>
          </w:rPr>
          <w:t>https://www.oregon.gov/oha/OHPB/CCODocuments/09-CCO-RFA-4690-0-Attachment-10-SDOH-HE-Questionnaire-Final.pdf</w:t>
        </w:r>
      </w:hyperlink>
      <w:r>
        <w:rPr>
          <w:rFonts w:ascii="Arial" w:hAnsi="Arial" w:cs="Arial"/>
          <w:color w:val="222222"/>
        </w:rPr>
        <w:t> p. 1-2</w:t>
      </w:r>
    </w:p>
    <w:p w14:paraId="04A1D288" w14:textId="77777777" w:rsidR="00917BE9" w:rsidRDefault="00917BE9" w:rsidP="00917BE9">
      <w:pPr>
        <w:rPr>
          <w:rFonts w:ascii="Arial" w:hAnsi="Arial" w:cs="Arial"/>
          <w:color w:val="222222"/>
        </w:rPr>
      </w:pPr>
    </w:p>
    <w:p w14:paraId="4F164DCC" w14:textId="77777777" w:rsidR="00917BE9" w:rsidRDefault="00917BE9" w:rsidP="00917BE9">
      <w:pPr>
        <w:rPr>
          <w:rFonts w:ascii="Arial" w:hAnsi="Arial" w:cs="Arial"/>
          <w:color w:val="222222"/>
        </w:rPr>
      </w:pPr>
      <w:hyperlink r:id="rId6" w:history="1">
        <w:r>
          <w:rPr>
            <w:rStyle w:val="Hyperlink"/>
            <w:rFonts w:ascii="Arial" w:hAnsi="Arial" w:cs="Arial"/>
            <w:color w:val="1155CC"/>
          </w:rPr>
          <w:t>https://www.oregon.gov/oha/OHPB/CCODocuments/03-CCO-RFA-4690-0-Appendix-B-Sample-Contract-Final.pdf</w:t>
        </w:r>
      </w:hyperlink>
      <w:r>
        <w:rPr>
          <w:rFonts w:ascii="Arial" w:hAnsi="Arial" w:cs="Arial"/>
          <w:color w:val="222222"/>
        </w:rPr>
        <w:t> p. 199-201</w:t>
      </w:r>
    </w:p>
    <w:p w14:paraId="25B37343" w14:textId="77777777" w:rsidR="00917BE9" w:rsidRDefault="00917BE9" w:rsidP="00917BE9">
      <w:pPr>
        <w:rPr>
          <w:rFonts w:ascii="Arial" w:hAnsi="Arial" w:cs="Arial"/>
          <w:color w:val="222222"/>
        </w:rPr>
      </w:pPr>
    </w:p>
    <w:p w14:paraId="7059973F" w14:textId="77777777" w:rsidR="00917BE9" w:rsidRDefault="00917BE9" w:rsidP="00917BE9">
      <w:pPr>
        <w:rPr>
          <w:rFonts w:ascii="Arial" w:hAnsi="Arial" w:cs="Arial"/>
          <w:color w:val="222222"/>
        </w:rPr>
      </w:pPr>
      <w:hyperlink r:id="rId7" w:history="1">
        <w:r>
          <w:rPr>
            <w:rStyle w:val="Hyperlink"/>
            <w:rFonts w:ascii="Arial" w:hAnsi="Arial" w:cs="Arial"/>
            <w:color w:val="1155CC"/>
          </w:rPr>
          <w:t>https://apps.state.or.us/Forms/Served/le9830.pdf</w:t>
        </w:r>
      </w:hyperlink>
      <w:r>
        <w:rPr>
          <w:rFonts w:ascii="Arial" w:hAnsi="Arial" w:cs="Arial"/>
          <w:color w:val="222222"/>
        </w:rPr>
        <w:t>  p. 33-37</w:t>
      </w:r>
    </w:p>
    <w:p w14:paraId="380C37C9" w14:textId="77777777" w:rsidR="00917BE9" w:rsidRDefault="00917BE9" w:rsidP="00917BE9">
      <w:pPr>
        <w:rPr>
          <w:rFonts w:ascii="Arial" w:hAnsi="Arial" w:cs="Arial"/>
          <w:color w:val="222222"/>
        </w:rPr>
      </w:pPr>
    </w:p>
    <w:p w14:paraId="47C4E313" w14:textId="03557623" w:rsidR="00917BE9" w:rsidRDefault="00917BE9" w:rsidP="00917BE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Powell Imple</w:t>
      </w:r>
      <w:r>
        <w:rPr>
          <w:rFonts w:ascii="Arial" w:hAnsi="Arial" w:cs="Arial"/>
          <w:color w:val="222222"/>
        </w:rPr>
        <w:t>ment</w:t>
      </w:r>
      <w:r>
        <w:rPr>
          <w:rFonts w:ascii="Arial" w:hAnsi="Arial" w:cs="Arial"/>
          <w:color w:val="222222"/>
        </w:rPr>
        <w:t>ation paper: Scan Table 3</w:t>
      </w:r>
    </w:p>
    <w:p w14:paraId="3F373049" w14:textId="77777777" w:rsidR="00917BE9" w:rsidRPr="00917BE9" w:rsidRDefault="00917BE9" w:rsidP="00917BE9"/>
    <w:sectPr w:rsidR="00917BE9" w:rsidRPr="00917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61CC"/>
    <w:multiLevelType w:val="hybridMultilevel"/>
    <w:tmpl w:val="4A843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92F4A"/>
    <w:multiLevelType w:val="hybridMultilevel"/>
    <w:tmpl w:val="C6727C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565B22"/>
    <w:multiLevelType w:val="hybridMultilevel"/>
    <w:tmpl w:val="E94C9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44668"/>
    <w:multiLevelType w:val="hybridMultilevel"/>
    <w:tmpl w:val="9C40E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B6FE1"/>
    <w:multiLevelType w:val="hybridMultilevel"/>
    <w:tmpl w:val="C930B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06B98"/>
    <w:multiLevelType w:val="hybridMultilevel"/>
    <w:tmpl w:val="9604A238"/>
    <w:lvl w:ilvl="0" w:tplc="BDC01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45"/>
    <w:rsid w:val="0000742E"/>
    <w:rsid w:val="00007AB0"/>
    <w:rsid w:val="0001639C"/>
    <w:rsid w:val="000379CB"/>
    <w:rsid w:val="00070123"/>
    <w:rsid w:val="00080DC3"/>
    <w:rsid w:val="00094623"/>
    <w:rsid w:val="000D5337"/>
    <w:rsid w:val="000E3C02"/>
    <w:rsid w:val="001131BF"/>
    <w:rsid w:val="00174C5B"/>
    <w:rsid w:val="001840EC"/>
    <w:rsid w:val="00186BCB"/>
    <w:rsid w:val="001B3C20"/>
    <w:rsid w:val="001F08D9"/>
    <w:rsid w:val="002006A6"/>
    <w:rsid w:val="0022542C"/>
    <w:rsid w:val="00230088"/>
    <w:rsid w:val="0024631E"/>
    <w:rsid w:val="002A639E"/>
    <w:rsid w:val="002B55BA"/>
    <w:rsid w:val="002C2451"/>
    <w:rsid w:val="002D16AE"/>
    <w:rsid w:val="00315772"/>
    <w:rsid w:val="00323260"/>
    <w:rsid w:val="00336CB2"/>
    <w:rsid w:val="00382CC8"/>
    <w:rsid w:val="00385E45"/>
    <w:rsid w:val="0039478F"/>
    <w:rsid w:val="003F0600"/>
    <w:rsid w:val="003F1DDC"/>
    <w:rsid w:val="003F72B1"/>
    <w:rsid w:val="00402E6D"/>
    <w:rsid w:val="00471A45"/>
    <w:rsid w:val="00483622"/>
    <w:rsid w:val="00486D54"/>
    <w:rsid w:val="00491FA6"/>
    <w:rsid w:val="004A2A5E"/>
    <w:rsid w:val="004C564B"/>
    <w:rsid w:val="005443C1"/>
    <w:rsid w:val="00555FB2"/>
    <w:rsid w:val="0057354F"/>
    <w:rsid w:val="005822EE"/>
    <w:rsid w:val="005A0B97"/>
    <w:rsid w:val="005E018C"/>
    <w:rsid w:val="005E335A"/>
    <w:rsid w:val="005F5250"/>
    <w:rsid w:val="005F74BA"/>
    <w:rsid w:val="0062167B"/>
    <w:rsid w:val="006270F6"/>
    <w:rsid w:val="0063681E"/>
    <w:rsid w:val="00657891"/>
    <w:rsid w:val="00696332"/>
    <w:rsid w:val="006A5A0E"/>
    <w:rsid w:val="006A5E7F"/>
    <w:rsid w:val="006B7E0B"/>
    <w:rsid w:val="006C4656"/>
    <w:rsid w:val="006E7422"/>
    <w:rsid w:val="006F3DA5"/>
    <w:rsid w:val="006F5C53"/>
    <w:rsid w:val="0071511B"/>
    <w:rsid w:val="0072164B"/>
    <w:rsid w:val="00743AF9"/>
    <w:rsid w:val="00780380"/>
    <w:rsid w:val="007A6115"/>
    <w:rsid w:val="007B1E09"/>
    <w:rsid w:val="007F389E"/>
    <w:rsid w:val="00815E14"/>
    <w:rsid w:val="0082024E"/>
    <w:rsid w:val="00851592"/>
    <w:rsid w:val="00872728"/>
    <w:rsid w:val="00894F61"/>
    <w:rsid w:val="008C62B8"/>
    <w:rsid w:val="009057B0"/>
    <w:rsid w:val="009138B6"/>
    <w:rsid w:val="00917BE9"/>
    <w:rsid w:val="009370E4"/>
    <w:rsid w:val="0094610C"/>
    <w:rsid w:val="00983B07"/>
    <w:rsid w:val="00990A5F"/>
    <w:rsid w:val="009A00CB"/>
    <w:rsid w:val="009B7919"/>
    <w:rsid w:val="009C79AD"/>
    <w:rsid w:val="00A3752B"/>
    <w:rsid w:val="00A55F46"/>
    <w:rsid w:val="00A65ADD"/>
    <w:rsid w:val="00A760C3"/>
    <w:rsid w:val="00AA3164"/>
    <w:rsid w:val="00AF75D8"/>
    <w:rsid w:val="00B22732"/>
    <w:rsid w:val="00B3716A"/>
    <w:rsid w:val="00B86BB9"/>
    <w:rsid w:val="00BB5FCA"/>
    <w:rsid w:val="00BD0A19"/>
    <w:rsid w:val="00BD3E0C"/>
    <w:rsid w:val="00CC7FEC"/>
    <w:rsid w:val="00CF45F8"/>
    <w:rsid w:val="00CF625F"/>
    <w:rsid w:val="00D13BD6"/>
    <w:rsid w:val="00D358E1"/>
    <w:rsid w:val="00D40F27"/>
    <w:rsid w:val="00DD20ED"/>
    <w:rsid w:val="00E369D8"/>
    <w:rsid w:val="00E5482E"/>
    <w:rsid w:val="00EF2221"/>
    <w:rsid w:val="00EF33AE"/>
    <w:rsid w:val="00EF5EC6"/>
    <w:rsid w:val="00F24934"/>
    <w:rsid w:val="00F613EA"/>
    <w:rsid w:val="00F6767E"/>
    <w:rsid w:val="00F80CE3"/>
    <w:rsid w:val="00F914B7"/>
    <w:rsid w:val="00F9258B"/>
    <w:rsid w:val="00FC065B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A1D0E"/>
  <w15:chartTrackingRefBased/>
  <w15:docId w15:val="{8A827FBF-32A9-44B8-8EF3-0F78FD37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4B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701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state.or.us/Forms/Served/le983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oha/OHPB/CCODocuments/03-CCO-RFA-4690-0-Appendix-B-Sample-Contract-Final.pdf" TargetMode="External"/><Relationship Id="rId5" Type="http://schemas.openxmlformats.org/officeDocument/2006/relationships/hyperlink" Target="https://www.oregon.gov/oha/OHPB/CCODocuments/09-CCO-RFA-4690-0-Attachment-10-SDOH-HE-Questionnaire-Final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Fuoco, Morgan J</dc:creator>
  <cp:keywords/>
  <dc:description/>
  <cp:lastModifiedBy>Fuoco, Morgan J</cp:lastModifiedBy>
  <cp:revision>52</cp:revision>
  <dcterms:created xsi:type="dcterms:W3CDTF">2019-05-16T18:11:00Z</dcterms:created>
  <dcterms:modified xsi:type="dcterms:W3CDTF">2019-05-16T19:41:00Z</dcterms:modified>
</cp:coreProperties>
</file>