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FA735" w14:textId="77777777" w:rsidR="000B63B4" w:rsidRPr="000B63B4" w:rsidRDefault="000B63B4" w:rsidP="000B63B4">
      <w:pPr>
        <w:rPr>
          <w:rFonts w:ascii="Arial" w:eastAsia="Times New Roman" w:hAnsi="Arial" w:cs="Arial"/>
          <w:sz w:val="22"/>
          <w:szCs w:val="22"/>
        </w:rPr>
      </w:pPr>
      <w:bookmarkStart w:id="0" w:name="_GoBack"/>
      <w:bookmarkEnd w:id="0"/>
      <w:r w:rsidRPr="000B63B4">
        <w:rPr>
          <w:rFonts w:ascii="Arial" w:eastAsia="Times New Roman" w:hAnsi="Arial" w:cs="Arial"/>
          <w:b/>
          <w:bCs/>
          <w:color w:val="000000"/>
          <w:sz w:val="22"/>
          <w:szCs w:val="22"/>
        </w:rPr>
        <w:t>Patient-centered medical homes and community engagement</w:t>
      </w:r>
    </w:p>
    <w:p w14:paraId="31DE768B" w14:textId="77777777" w:rsidR="000B63B4" w:rsidRPr="000B63B4" w:rsidRDefault="000B63B4" w:rsidP="000B63B4">
      <w:pPr>
        <w:rPr>
          <w:rFonts w:ascii="Arial" w:eastAsia="Times New Roman" w:hAnsi="Arial" w:cs="Arial"/>
          <w:sz w:val="22"/>
          <w:szCs w:val="22"/>
        </w:rPr>
      </w:pPr>
    </w:p>
    <w:p w14:paraId="3E76879D" w14:textId="77777777" w:rsidR="000B63B4" w:rsidRPr="000B63B4" w:rsidRDefault="000B63B4" w:rsidP="000B63B4">
      <w:pPr>
        <w:ind w:firstLine="720"/>
        <w:rPr>
          <w:rFonts w:ascii="Arial" w:eastAsia="Times New Roman" w:hAnsi="Arial" w:cs="Arial"/>
          <w:sz w:val="22"/>
          <w:szCs w:val="22"/>
        </w:rPr>
      </w:pPr>
      <w:r w:rsidRPr="000B63B4">
        <w:rPr>
          <w:rFonts w:ascii="Arial" w:eastAsia="Times New Roman" w:hAnsi="Arial" w:cs="Arial"/>
          <w:color w:val="000000"/>
          <w:sz w:val="22"/>
          <w:szCs w:val="22"/>
        </w:rPr>
        <w:t>PCMH offers a detailed model for applying practice transformation strategies to achieve population health management which is central to the underlying objectives of the PCMH</w:t>
      </w:r>
    </w:p>
    <w:p w14:paraId="643D790F"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color w:val="000000"/>
          <w:sz w:val="22"/>
          <w:szCs w:val="22"/>
        </w:rPr>
        <w:t>Goals.[1] PCMHs view patients as individuals within a population and this makes it possible within the model to go beyond caring for an individual patient to identifying the key needs of its patient population as well as find ways to meet identified needs and prevent further health challenges within the population. Population health management involves a proactive, team-based approach to care that focuses on prevention, early intervention, and close partnerships with patients to tightly manage chronic conditions.[2] The practice of population health management enables a practice to more easily: proactively identify patients who need evidence-based chronic or preventive care using health data collected and stored in patient registries, provide planned care and outreach based on patient diseases or conditions, provide patient self-management support, monitor patient progress, identify appropriate care plans, and recommend changes to care plans by including prompts in the electronic health record, and monitor practice performance by tracking patient data and comparing it with national guidelines or internal benchmarks.[2]</w:t>
      </w:r>
    </w:p>
    <w:p w14:paraId="255A2B4A" w14:textId="77777777" w:rsidR="000B63B4" w:rsidRPr="000B63B4" w:rsidRDefault="000B63B4" w:rsidP="000B63B4">
      <w:pPr>
        <w:ind w:firstLine="720"/>
        <w:rPr>
          <w:rFonts w:ascii="Arial" w:eastAsia="Times New Roman" w:hAnsi="Arial" w:cs="Arial"/>
          <w:sz w:val="22"/>
          <w:szCs w:val="22"/>
        </w:rPr>
      </w:pPr>
      <w:r w:rsidRPr="000B63B4">
        <w:rPr>
          <w:rFonts w:ascii="Arial" w:eastAsia="Times New Roman" w:hAnsi="Arial" w:cs="Arial"/>
          <w:color w:val="000000"/>
          <w:sz w:val="22"/>
          <w:szCs w:val="22"/>
        </w:rPr>
        <w:t xml:space="preserve">“The patient-centered medical home is a deep, broad, and challenging commitment to improving the lives of patients in every way possible – and for PCMH providers, that means the work doesn’t stop once the patient pulls out of the parking lot.[3]  Developing meaningful relationships and dialogues with the wider community, including public health departments, pharmacies, long-term care, and home care providers, schools, behavioral healthcare providers, and workplaces, is a crucial factor for PCMH success.[3]  “Health primarily happens outside the doctor’s office—playing out in the arenas where we live, learn, work and play. In fact, a minority of our overall health is the result of the health care we receive,” National Coordinator Karen DeSalvo, MD, MPH, MSc reminded the healthcare community last year.[3] Providers who are dependent on behaviors like medication adherence and chronic disease management for an increasing proportion of their revenue must understand how patients make health decisions in their daily lives and what can make it easier for them to choose the right paths.[3] Through a combination of health IT tools and care coordination techniques that leverage a human touch, patient-centered medical home providers can establish meaningful working relationships with the numerous organizations that impact patient health.”[3] </w:t>
      </w:r>
    </w:p>
    <w:p w14:paraId="0F3B6C82" w14:textId="77777777" w:rsidR="000B63B4" w:rsidRPr="000B63B4" w:rsidRDefault="000B63B4" w:rsidP="000B63B4">
      <w:pPr>
        <w:rPr>
          <w:rFonts w:ascii="Arial" w:eastAsia="Times New Roman" w:hAnsi="Arial" w:cs="Arial"/>
          <w:sz w:val="22"/>
          <w:szCs w:val="22"/>
        </w:rPr>
      </w:pPr>
    </w:p>
    <w:p w14:paraId="75BE7AA9" w14:textId="77777777" w:rsidR="000B63B4" w:rsidRPr="000B63B4" w:rsidRDefault="000B63B4" w:rsidP="000B63B4">
      <w:pPr>
        <w:rPr>
          <w:rFonts w:ascii="Arial" w:eastAsia="Times New Roman" w:hAnsi="Arial" w:cs="Arial"/>
          <w:sz w:val="22"/>
          <w:szCs w:val="22"/>
        </w:rPr>
      </w:pPr>
    </w:p>
    <w:p w14:paraId="27749185" w14:textId="77777777" w:rsidR="000B63B4" w:rsidRDefault="000B63B4" w:rsidP="000B63B4">
      <w:pPr>
        <w:rPr>
          <w:rFonts w:ascii="Arial" w:eastAsia="Times New Roman" w:hAnsi="Arial" w:cs="Arial"/>
          <w:b/>
          <w:bCs/>
          <w:color w:val="000000"/>
          <w:sz w:val="22"/>
          <w:szCs w:val="22"/>
        </w:rPr>
      </w:pPr>
      <w:r w:rsidRPr="000B63B4">
        <w:rPr>
          <w:rFonts w:ascii="Arial" w:eastAsia="Times New Roman" w:hAnsi="Arial" w:cs="Arial"/>
          <w:b/>
          <w:bCs/>
          <w:color w:val="000000"/>
          <w:sz w:val="22"/>
          <w:szCs w:val="22"/>
        </w:rPr>
        <w:t>Questions</w:t>
      </w:r>
    </w:p>
    <w:p w14:paraId="3DFF52FD" w14:textId="77777777" w:rsidR="000B63B4" w:rsidRPr="000B63B4" w:rsidRDefault="000B63B4" w:rsidP="000B63B4">
      <w:pPr>
        <w:rPr>
          <w:rFonts w:ascii="Arial" w:eastAsia="Times New Roman" w:hAnsi="Arial" w:cs="Arial"/>
          <w:sz w:val="22"/>
          <w:szCs w:val="22"/>
        </w:rPr>
      </w:pPr>
    </w:p>
    <w:p w14:paraId="071F8C2E" w14:textId="77777777" w:rsidR="000B63B4" w:rsidRPr="000B63B4" w:rsidRDefault="000B63B4" w:rsidP="000B63B4">
      <w:pPr>
        <w:numPr>
          <w:ilvl w:val="0"/>
          <w:numId w:val="1"/>
        </w:numPr>
        <w:textAlignment w:val="baseline"/>
        <w:rPr>
          <w:rFonts w:ascii="Arial" w:eastAsia="Times New Roman" w:hAnsi="Arial" w:cs="Arial"/>
          <w:color w:val="000000"/>
          <w:sz w:val="22"/>
          <w:szCs w:val="22"/>
        </w:rPr>
      </w:pPr>
      <w:r w:rsidRPr="000B63B4">
        <w:rPr>
          <w:rFonts w:ascii="Arial" w:eastAsia="Times New Roman" w:hAnsi="Arial" w:cs="Arial"/>
          <w:color w:val="000000"/>
          <w:sz w:val="22"/>
          <w:szCs w:val="22"/>
        </w:rPr>
        <w:t>Are there community engagement related policy gaps within the PCMH framework that have limited the achievement of population health-related goals of PCMHs in the US?  </w:t>
      </w:r>
    </w:p>
    <w:p w14:paraId="60517323" w14:textId="77777777" w:rsidR="000B63B4" w:rsidRPr="000B63B4" w:rsidRDefault="000B63B4" w:rsidP="000B63B4">
      <w:pPr>
        <w:numPr>
          <w:ilvl w:val="0"/>
          <w:numId w:val="1"/>
        </w:numPr>
        <w:textAlignment w:val="baseline"/>
        <w:rPr>
          <w:rFonts w:ascii="Arial" w:eastAsia="Times New Roman" w:hAnsi="Arial" w:cs="Arial"/>
          <w:color w:val="000000"/>
          <w:sz w:val="22"/>
          <w:szCs w:val="22"/>
        </w:rPr>
      </w:pPr>
      <w:r w:rsidRPr="000B63B4">
        <w:rPr>
          <w:rFonts w:ascii="Arial" w:eastAsia="Times New Roman" w:hAnsi="Arial" w:cs="Arial"/>
          <w:color w:val="000000"/>
          <w:sz w:val="22"/>
          <w:szCs w:val="22"/>
        </w:rPr>
        <w:t>Or are there current gaps in knowledge amongst PCMH practitioners and stakeholders about community engagement related policies within the PCMH framework that can be addressed with pragmatic policy changes with resultant improvements in population-level health outcomes?</w:t>
      </w:r>
    </w:p>
    <w:p w14:paraId="2FBAE8EC" w14:textId="77777777" w:rsidR="000B63B4" w:rsidRPr="000B63B4" w:rsidRDefault="000B63B4" w:rsidP="000B63B4">
      <w:pPr>
        <w:numPr>
          <w:ilvl w:val="0"/>
          <w:numId w:val="1"/>
        </w:numPr>
        <w:textAlignment w:val="baseline"/>
        <w:rPr>
          <w:rFonts w:ascii="Arial" w:eastAsia="Times New Roman" w:hAnsi="Arial" w:cs="Arial"/>
          <w:color w:val="000000"/>
          <w:sz w:val="22"/>
          <w:szCs w:val="22"/>
        </w:rPr>
      </w:pPr>
      <w:r w:rsidRPr="000B63B4">
        <w:rPr>
          <w:rFonts w:ascii="Arial" w:eastAsia="Times New Roman" w:hAnsi="Arial" w:cs="Arial"/>
          <w:color w:val="000000"/>
          <w:sz w:val="22"/>
          <w:szCs w:val="22"/>
        </w:rPr>
        <w:t>What roles can public health practitioners play within the US health system in enabling the policy shifts that can improve the attainment of community engagement (to enhance population health management) in US-based PCMHs? (Given that a good number of community health centers that were upgraded to PCMH in the US seemed to not meet target according to a study, and a local Canadian center seems to be meeting target).</w:t>
      </w:r>
    </w:p>
    <w:p w14:paraId="30866C18" w14:textId="77777777" w:rsidR="000B63B4" w:rsidRPr="000B63B4" w:rsidRDefault="000B63B4" w:rsidP="000B63B4">
      <w:pPr>
        <w:spacing w:after="240"/>
        <w:rPr>
          <w:rFonts w:ascii="Arial" w:eastAsia="Times New Roman" w:hAnsi="Arial" w:cs="Arial"/>
          <w:sz w:val="22"/>
          <w:szCs w:val="22"/>
        </w:rPr>
      </w:pPr>
    </w:p>
    <w:p w14:paraId="2FED9DB3" w14:textId="77777777" w:rsidR="000B63B4" w:rsidRDefault="000B63B4" w:rsidP="000B63B4">
      <w:pPr>
        <w:rPr>
          <w:rFonts w:ascii="Arial" w:eastAsia="Times New Roman" w:hAnsi="Arial" w:cs="Arial"/>
          <w:b/>
          <w:bCs/>
          <w:color w:val="000000"/>
          <w:sz w:val="22"/>
          <w:szCs w:val="22"/>
        </w:rPr>
      </w:pPr>
    </w:p>
    <w:p w14:paraId="49C7B2B8" w14:textId="77777777" w:rsidR="000B63B4" w:rsidRDefault="000B63B4" w:rsidP="000B63B4">
      <w:pPr>
        <w:rPr>
          <w:rFonts w:ascii="Arial" w:eastAsia="Times New Roman" w:hAnsi="Arial" w:cs="Arial"/>
          <w:b/>
          <w:bCs/>
          <w:color w:val="000000"/>
          <w:sz w:val="22"/>
          <w:szCs w:val="22"/>
        </w:rPr>
      </w:pPr>
    </w:p>
    <w:p w14:paraId="0D201CC1"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b/>
          <w:bCs/>
          <w:color w:val="000000"/>
          <w:sz w:val="22"/>
          <w:szCs w:val="22"/>
        </w:rPr>
        <w:lastRenderedPageBreak/>
        <w:t>Readings</w:t>
      </w:r>
    </w:p>
    <w:p w14:paraId="23FBDEC6" w14:textId="77777777" w:rsidR="000B63B4" w:rsidRPr="000B63B4" w:rsidRDefault="000B63B4" w:rsidP="000B63B4">
      <w:pPr>
        <w:rPr>
          <w:rFonts w:ascii="Arial" w:eastAsia="Times New Roman" w:hAnsi="Arial" w:cs="Arial"/>
          <w:sz w:val="22"/>
          <w:szCs w:val="22"/>
        </w:rPr>
      </w:pPr>
    </w:p>
    <w:p w14:paraId="109E106C" w14:textId="77777777" w:rsidR="000B63B4" w:rsidRPr="000B63B4" w:rsidRDefault="000B63B4" w:rsidP="000B63B4">
      <w:pPr>
        <w:pStyle w:val="ListParagraph"/>
        <w:numPr>
          <w:ilvl w:val="0"/>
          <w:numId w:val="2"/>
        </w:numPr>
        <w:rPr>
          <w:rFonts w:ascii="Arial" w:eastAsia="Times New Roman" w:hAnsi="Arial" w:cs="Arial"/>
          <w:sz w:val="22"/>
          <w:szCs w:val="22"/>
        </w:rPr>
      </w:pPr>
      <w:proofErr w:type="spellStart"/>
      <w:r w:rsidRPr="000B63B4">
        <w:rPr>
          <w:rFonts w:ascii="Arial" w:eastAsia="Times New Roman" w:hAnsi="Arial" w:cs="Arial"/>
          <w:color w:val="000000"/>
          <w:sz w:val="22"/>
          <w:szCs w:val="22"/>
        </w:rPr>
        <w:t>Howrey</w:t>
      </w:r>
      <w:proofErr w:type="spellEnd"/>
      <w:r w:rsidRPr="000B63B4">
        <w:rPr>
          <w:rFonts w:ascii="Arial" w:eastAsia="Times New Roman" w:hAnsi="Arial" w:cs="Arial"/>
          <w:color w:val="000000"/>
          <w:sz w:val="22"/>
          <w:szCs w:val="22"/>
        </w:rPr>
        <w:t xml:space="preserve"> B, Thompson, </w:t>
      </w:r>
      <w:proofErr w:type="spellStart"/>
      <w:r w:rsidRPr="000B63B4">
        <w:rPr>
          <w:rFonts w:ascii="Arial" w:eastAsia="Times New Roman" w:hAnsi="Arial" w:cs="Arial"/>
          <w:color w:val="000000"/>
          <w:sz w:val="22"/>
          <w:szCs w:val="22"/>
        </w:rPr>
        <w:t>Borkan</w:t>
      </w:r>
      <w:proofErr w:type="spellEnd"/>
      <w:r w:rsidRPr="000B63B4">
        <w:rPr>
          <w:rFonts w:ascii="Arial" w:eastAsia="Times New Roman" w:hAnsi="Arial" w:cs="Arial"/>
          <w:color w:val="000000"/>
          <w:sz w:val="22"/>
          <w:szCs w:val="22"/>
        </w:rPr>
        <w:t xml:space="preserve"> J et al. Partnering </w:t>
      </w:r>
      <w:proofErr w:type="gramStart"/>
      <w:r w:rsidRPr="000B63B4">
        <w:rPr>
          <w:rFonts w:ascii="Arial" w:eastAsia="Times New Roman" w:hAnsi="Arial" w:cs="Arial"/>
          <w:color w:val="000000"/>
          <w:sz w:val="22"/>
          <w:szCs w:val="22"/>
        </w:rPr>
        <w:t>With</w:t>
      </w:r>
      <w:proofErr w:type="gramEnd"/>
      <w:r w:rsidRPr="000B63B4">
        <w:rPr>
          <w:rFonts w:ascii="Arial" w:eastAsia="Times New Roman" w:hAnsi="Arial" w:cs="Arial"/>
          <w:color w:val="000000"/>
          <w:sz w:val="22"/>
          <w:szCs w:val="22"/>
        </w:rPr>
        <w:t xml:space="preserve"> Patients, Families, and Communities. Family Medicine. September 2015. </w:t>
      </w:r>
      <w:hyperlink r:id="rId5" w:history="1">
        <w:r w:rsidRPr="000B63B4">
          <w:rPr>
            <w:rFonts w:ascii="Arial" w:eastAsia="Times New Roman" w:hAnsi="Arial" w:cs="Arial"/>
            <w:color w:val="1155CC"/>
            <w:sz w:val="22"/>
            <w:szCs w:val="22"/>
            <w:u w:val="single"/>
          </w:rPr>
          <w:t>https://www.stfm.org/FamilyMedicine/Vol47Issue8/Howrey604</w:t>
        </w:r>
      </w:hyperlink>
      <w:r w:rsidRPr="000B63B4">
        <w:rPr>
          <w:rFonts w:ascii="Arial" w:eastAsia="Times New Roman" w:hAnsi="Arial" w:cs="Arial"/>
          <w:color w:val="000000"/>
          <w:sz w:val="22"/>
          <w:szCs w:val="22"/>
        </w:rPr>
        <w:t xml:space="preserve"> </w:t>
      </w:r>
    </w:p>
    <w:p w14:paraId="1AE8C572"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t xml:space="preserve"> </w:t>
      </w:r>
      <w:r w:rsidRPr="000B63B4">
        <w:rPr>
          <w:rFonts w:ascii="Arial" w:eastAsia="Times New Roman" w:hAnsi="Arial" w:cs="Arial"/>
          <w:color w:val="000000"/>
          <w:sz w:val="22"/>
          <w:szCs w:val="22"/>
        </w:rPr>
        <w:tab/>
        <w:t xml:space="preserve"> </w:t>
      </w:r>
      <w:r w:rsidRPr="000B63B4">
        <w:rPr>
          <w:rFonts w:ascii="Arial" w:eastAsia="Times New Roman" w:hAnsi="Arial" w:cs="Arial"/>
          <w:color w:val="000000"/>
          <w:sz w:val="22"/>
          <w:szCs w:val="22"/>
        </w:rPr>
        <w:tab/>
        <w:t xml:space="preserve"> </w:t>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r w:rsidRPr="000B63B4">
        <w:rPr>
          <w:rFonts w:ascii="Arial" w:eastAsia="Times New Roman" w:hAnsi="Arial" w:cs="Arial"/>
          <w:color w:val="000000"/>
          <w:sz w:val="22"/>
          <w:szCs w:val="22"/>
        </w:rPr>
        <w:tab/>
      </w:r>
    </w:p>
    <w:p w14:paraId="6EEB6174" w14:textId="77777777" w:rsidR="000B63B4" w:rsidRPr="000B63B4" w:rsidRDefault="000B63B4" w:rsidP="000B63B4">
      <w:pPr>
        <w:pStyle w:val="ListParagraph"/>
        <w:numPr>
          <w:ilvl w:val="0"/>
          <w:numId w:val="2"/>
        </w:numPr>
        <w:rPr>
          <w:rFonts w:ascii="Arial" w:eastAsia="Times New Roman" w:hAnsi="Arial" w:cs="Arial"/>
          <w:sz w:val="22"/>
          <w:szCs w:val="22"/>
        </w:rPr>
      </w:pPr>
      <w:r w:rsidRPr="000B63B4">
        <w:rPr>
          <w:rFonts w:ascii="Arial" w:eastAsia="Times New Roman" w:hAnsi="Arial" w:cs="Arial"/>
          <w:color w:val="000000"/>
          <w:sz w:val="22"/>
          <w:szCs w:val="22"/>
        </w:rPr>
        <w:t>Franz B. The Patient</w:t>
      </w:r>
      <w:r w:rsidRPr="000B63B4">
        <w:rPr>
          <w:rFonts w:ascii="Arial" w:eastAsia="Times New Roman" w:hAnsi="Arial" w:cs="Arial"/>
          <w:color w:val="000000"/>
          <w:sz w:val="22"/>
          <w:szCs w:val="22"/>
        </w:rPr>
        <w:softHyphen/>
        <w:t xml:space="preserve"> Centered Medical Home as a Community</w:t>
      </w:r>
      <w:r w:rsidRPr="000B63B4">
        <w:rPr>
          <w:rFonts w:ascii="Arial" w:eastAsia="Times New Roman" w:hAnsi="Arial" w:cs="Arial"/>
          <w:color w:val="000000"/>
          <w:sz w:val="22"/>
          <w:szCs w:val="22"/>
        </w:rPr>
        <w:softHyphen/>
        <w:t xml:space="preserve"> based Strategy. Perm J. 2017; 21: 17</w:t>
      </w:r>
      <w:r w:rsidRPr="000B63B4">
        <w:rPr>
          <w:rFonts w:ascii="Arial" w:eastAsia="Times New Roman" w:hAnsi="Arial" w:cs="Arial"/>
          <w:color w:val="000000"/>
          <w:sz w:val="22"/>
          <w:szCs w:val="22"/>
        </w:rPr>
        <w:softHyphen/>
        <w:t xml:space="preserve">002. July 2017. </w:t>
      </w:r>
      <w:hyperlink r:id="rId6" w:history="1">
        <w:r w:rsidRPr="000B63B4">
          <w:rPr>
            <w:rFonts w:ascii="Arial" w:eastAsia="Times New Roman" w:hAnsi="Arial" w:cs="Arial"/>
            <w:color w:val="1155CC"/>
            <w:sz w:val="22"/>
            <w:szCs w:val="22"/>
            <w:u w:val="single"/>
          </w:rPr>
          <w:t>http://www.thepermanentejournal.org/issues/2017/summer/6479-the-patient-centered-medical-home-as-a-community-based-strategy.html</w:t>
        </w:r>
      </w:hyperlink>
    </w:p>
    <w:p w14:paraId="5706A470" w14:textId="77777777" w:rsidR="000B63B4" w:rsidRPr="000B63B4" w:rsidRDefault="000B63B4" w:rsidP="000B63B4">
      <w:pPr>
        <w:rPr>
          <w:rFonts w:ascii="Arial" w:eastAsia="Times New Roman" w:hAnsi="Arial" w:cs="Arial"/>
          <w:sz w:val="22"/>
          <w:szCs w:val="22"/>
        </w:rPr>
      </w:pPr>
    </w:p>
    <w:p w14:paraId="34DF3BEC" w14:textId="77777777" w:rsidR="000B63B4" w:rsidRPr="000B63B4" w:rsidRDefault="000B63B4" w:rsidP="000B63B4">
      <w:pPr>
        <w:pStyle w:val="ListParagraph"/>
        <w:numPr>
          <w:ilvl w:val="0"/>
          <w:numId w:val="2"/>
        </w:numPr>
        <w:rPr>
          <w:rFonts w:ascii="Arial" w:eastAsia="Times New Roman" w:hAnsi="Arial" w:cs="Arial"/>
          <w:sz w:val="22"/>
          <w:szCs w:val="22"/>
        </w:rPr>
      </w:pPr>
      <w:proofErr w:type="spellStart"/>
      <w:r w:rsidRPr="000B63B4">
        <w:rPr>
          <w:rFonts w:ascii="Arial" w:eastAsia="Times New Roman" w:hAnsi="Arial" w:cs="Arial"/>
          <w:color w:val="000000"/>
          <w:sz w:val="22"/>
          <w:szCs w:val="22"/>
        </w:rPr>
        <w:t>Shukor</w:t>
      </w:r>
      <w:proofErr w:type="spellEnd"/>
      <w:r w:rsidRPr="000B63B4">
        <w:rPr>
          <w:rFonts w:ascii="Arial" w:eastAsia="Times New Roman" w:hAnsi="Arial" w:cs="Arial"/>
          <w:color w:val="000000"/>
          <w:sz w:val="22"/>
          <w:szCs w:val="22"/>
        </w:rPr>
        <w:t xml:space="preserve"> A, Edelman S, Brown D, </w:t>
      </w:r>
      <w:proofErr w:type="spellStart"/>
      <w:r w:rsidRPr="000B63B4">
        <w:rPr>
          <w:rFonts w:ascii="Arial" w:eastAsia="Times New Roman" w:hAnsi="Arial" w:cs="Arial"/>
          <w:color w:val="000000"/>
          <w:sz w:val="22"/>
          <w:szCs w:val="22"/>
        </w:rPr>
        <w:t>Rivard</w:t>
      </w:r>
      <w:proofErr w:type="spellEnd"/>
      <w:r w:rsidRPr="000B63B4">
        <w:rPr>
          <w:rFonts w:ascii="Arial" w:eastAsia="Times New Roman" w:hAnsi="Arial" w:cs="Arial"/>
          <w:color w:val="000000"/>
          <w:sz w:val="22"/>
          <w:szCs w:val="22"/>
        </w:rPr>
        <w:t xml:space="preserve"> C. Developing Community-Based Primary Health Care for Complex and Vulnerable Populations in the Vancouver Coastal Health Region: </w:t>
      </w:r>
      <w:proofErr w:type="spellStart"/>
      <w:r w:rsidRPr="000B63B4">
        <w:rPr>
          <w:rFonts w:ascii="Arial" w:eastAsia="Times New Roman" w:hAnsi="Arial" w:cs="Arial"/>
          <w:color w:val="000000"/>
          <w:sz w:val="22"/>
          <w:szCs w:val="22"/>
        </w:rPr>
        <w:t>HealthConnection</w:t>
      </w:r>
      <w:proofErr w:type="spellEnd"/>
      <w:r w:rsidRPr="000B63B4">
        <w:rPr>
          <w:rFonts w:ascii="Arial" w:eastAsia="Times New Roman" w:hAnsi="Arial" w:cs="Arial"/>
          <w:color w:val="000000"/>
          <w:sz w:val="22"/>
          <w:szCs w:val="22"/>
        </w:rPr>
        <w:t xml:space="preserve"> Clinic. Perm J </w:t>
      </w:r>
      <w:proofErr w:type="gramStart"/>
      <w:r w:rsidRPr="000B63B4">
        <w:rPr>
          <w:rFonts w:ascii="Arial" w:eastAsia="Times New Roman" w:hAnsi="Arial" w:cs="Arial"/>
          <w:color w:val="000000"/>
          <w:sz w:val="22"/>
          <w:szCs w:val="22"/>
        </w:rPr>
        <w:t>2018;22:18</w:t>
      </w:r>
      <w:proofErr w:type="gramEnd"/>
      <w:r w:rsidRPr="000B63B4">
        <w:rPr>
          <w:rFonts w:ascii="Arial" w:eastAsia="Times New Roman" w:hAnsi="Arial" w:cs="Arial"/>
          <w:color w:val="000000"/>
          <w:sz w:val="22"/>
          <w:szCs w:val="22"/>
        </w:rPr>
        <w:t xml:space="preserve">-010. September 2016. </w:t>
      </w:r>
      <w:hyperlink r:id="rId7" w:history="1">
        <w:r w:rsidRPr="000B63B4">
          <w:rPr>
            <w:rFonts w:ascii="Arial" w:eastAsia="Times New Roman" w:hAnsi="Arial" w:cs="Arial"/>
            <w:color w:val="1155CC"/>
            <w:sz w:val="22"/>
            <w:szCs w:val="22"/>
            <w:u w:val="single"/>
          </w:rPr>
          <w:t>https://doi.org/10.7812/TPP/18-010</w:t>
        </w:r>
      </w:hyperlink>
      <w:r w:rsidRPr="000B63B4">
        <w:rPr>
          <w:rFonts w:ascii="Arial" w:eastAsia="Times New Roman" w:hAnsi="Arial" w:cs="Arial"/>
          <w:color w:val="000000"/>
          <w:sz w:val="22"/>
          <w:szCs w:val="22"/>
        </w:rPr>
        <w:t xml:space="preserve">  </w:t>
      </w:r>
    </w:p>
    <w:p w14:paraId="730AA167" w14:textId="77777777" w:rsidR="000B63B4" w:rsidRPr="000B63B4" w:rsidRDefault="000B63B4" w:rsidP="000B63B4">
      <w:pPr>
        <w:spacing w:after="240"/>
        <w:rPr>
          <w:rFonts w:ascii="Arial" w:eastAsia="Times New Roman" w:hAnsi="Arial" w:cs="Arial"/>
          <w:sz w:val="22"/>
          <w:szCs w:val="22"/>
        </w:rPr>
      </w:pPr>
      <w:r w:rsidRPr="000B63B4">
        <w:rPr>
          <w:rFonts w:ascii="Arial" w:eastAsia="Times New Roman" w:hAnsi="Arial" w:cs="Arial"/>
          <w:sz w:val="22"/>
          <w:szCs w:val="22"/>
        </w:rPr>
        <w:br/>
      </w:r>
    </w:p>
    <w:p w14:paraId="79DECFFF"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b/>
          <w:bCs/>
          <w:color w:val="000000"/>
          <w:sz w:val="22"/>
          <w:szCs w:val="22"/>
        </w:rPr>
        <w:t>References</w:t>
      </w:r>
    </w:p>
    <w:p w14:paraId="73DE52E8" w14:textId="77777777" w:rsidR="000B63B4" w:rsidRPr="000B63B4" w:rsidRDefault="000B63B4" w:rsidP="000B63B4">
      <w:pPr>
        <w:rPr>
          <w:rFonts w:ascii="Arial" w:eastAsia="Times New Roman" w:hAnsi="Arial" w:cs="Arial"/>
          <w:sz w:val="22"/>
          <w:szCs w:val="22"/>
        </w:rPr>
      </w:pPr>
    </w:p>
    <w:p w14:paraId="331F966D"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color w:val="000000"/>
          <w:sz w:val="22"/>
          <w:szCs w:val="22"/>
        </w:rPr>
        <w:t>[1] Patient-Centered Medical Homes Key to ACOs, Population Health</w:t>
      </w:r>
    </w:p>
    <w:p w14:paraId="5DDAAF15" w14:textId="77777777" w:rsidR="000B63B4" w:rsidRPr="000B63B4" w:rsidRDefault="000B63B4" w:rsidP="000B63B4">
      <w:pPr>
        <w:rPr>
          <w:rFonts w:ascii="Arial" w:eastAsia="Times New Roman" w:hAnsi="Arial" w:cs="Arial"/>
          <w:sz w:val="22"/>
          <w:szCs w:val="22"/>
        </w:rPr>
      </w:pPr>
      <w:hyperlink r:id="rId8" w:history="1">
        <w:r w:rsidRPr="000B63B4">
          <w:rPr>
            <w:rFonts w:ascii="Arial" w:eastAsia="Times New Roman" w:hAnsi="Arial" w:cs="Arial"/>
            <w:color w:val="1155CC"/>
            <w:sz w:val="22"/>
            <w:szCs w:val="22"/>
            <w:u w:val="single"/>
          </w:rPr>
          <w:t>https://bit.ly/2VCLpzg</w:t>
        </w:r>
      </w:hyperlink>
      <w:r>
        <w:rPr>
          <w:rFonts w:ascii="Arial" w:eastAsia="Times New Roman" w:hAnsi="Arial" w:cs="Arial"/>
          <w:sz w:val="22"/>
          <w:szCs w:val="22"/>
        </w:rPr>
        <w:t xml:space="preserve"> [Accessed April 29, 2019]</w:t>
      </w:r>
    </w:p>
    <w:p w14:paraId="297BB084"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color w:val="000000"/>
          <w:sz w:val="22"/>
          <w:szCs w:val="22"/>
        </w:rPr>
        <w:t xml:space="preserve">[2] Planned Care and Population Health. AAFP. </w:t>
      </w:r>
      <w:hyperlink r:id="rId9" w:history="1">
        <w:r w:rsidRPr="000B63B4">
          <w:rPr>
            <w:rFonts w:ascii="Arial" w:eastAsia="Times New Roman" w:hAnsi="Arial" w:cs="Arial"/>
            <w:color w:val="1155CC"/>
            <w:sz w:val="22"/>
            <w:szCs w:val="22"/>
            <w:u w:val="single"/>
          </w:rPr>
          <w:t>https://bit.ly/2GFCjIP</w:t>
        </w:r>
      </w:hyperlink>
      <w:r w:rsidRPr="000B63B4">
        <w:rPr>
          <w:rFonts w:ascii="Arial" w:eastAsia="Times New Roman" w:hAnsi="Arial" w:cs="Arial"/>
          <w:color w:val="000000"/>
          <w:sz w:val="22"/>
          <w:szCs w:val="22"/>
        </w:rPr>
        <w:t xml:space="preserve"> </w:t>
      </w:r>
      <w:r>
        <w:rPr>
          <w:rFonts w:ascii="Arial" w:eastAsia="Times New Roman" w:hAnsi="Arial" w:cs="Arial"/>
          <w:sz w:val="22"/>
          <w:szCs w:val="22"/>
        </w:rPr>
        <w:t>[Accessed April 29, 2019]</w:t>
      </w:r>
    </w:p>
    <w:p w14:paraId="092F8369" w14:textId="77777777" w:rsidR="000B63B4" w:rsidRPr="000B63B4" w:rsidRDefault="000B63B4" w:rsidP="000B63B4">
      <w:pPr>
        <w:rPr>
          <w:rFonts w:ascii="Arial" w:eastAsia="Times New Roman" w:hAnsi="Arial" w:cs="Arial"/>
          <w:sz w:val="22"/>
          <w:szCs w:val="22"/>
        </w:rPr>
      </w:pPr>
      <w:r w:rsidRPr="000B63B4">
        <w:rPr>
          <w:rFonts w:ascii="Arial" w:eastAsia="Times New Roman" w:hAnsi="Arial" w:cs="Arial"/>
          <w:color w:val="000000"/>
          <w:sz w:val="22"/>
          <w:szCs w:val="22"/>
        </w:rPr>
        <w:t xml:space="preserve">[3] </w:t>
      </w:r>
      <w:proofErr w:type="spellStart"/>
      <w:r w:rsidRPr="000B63B4">
        <w:rPr>
          <w:rFonts w:ascii="Arial" w:eastAsia="Times New Roman" w:hAnsi="Arial" w:cs="Arial"/>
          <w:color w:val="000000"/>
          <w:sz w:val="22"/>
          <w:szCs w:val="22"/>
        </w:rPr>
        <w:t>Bresnick</w:t>
      </w:r>
      <w:proofErr w:type="spellEnd"/>
      <w:r w:rsidRPr="000B63B4">
        <w:rPr>
          <w:rFonts w:ascii="Arial" w:eastAsia="Times New Roman" w:hAnsi="Arial" w:cs="Arial"/>
          <w:color w:val="000000"/>
          <w:sz w:val="22"/>
          <w:szCs w:val="22"/>
        </w:rPr>
        <w:t xml:space="preserve"> J. Bringing the Patient-Centered Medical Home into the Community. Population Health News. April 2015. </w:t>
      </w:r>
      <w:hyperlink r:id="rId10" w:history="1">
        <w:r w:rsidRPr="000B63B4">
          <w:rPr>
            <w:rFonts w:ascii="Arial" w:eastAsia="Times New Roman" w:hAnsi="Arial" w:cs="Arial"/>
            <w:color w:val="1155CC"/>
            <w:sz w:val="22"/>
            <w:szCs w:val="22"/>
            <w:u w:val="single"/>
          </w:rPr>
          <w:t>https://bit.ly/2VCQtUi</w:t>
        </w:r>
      </w:hyperlink>
      <w:r w:rsidRPr="000B63B4">
        <w:rPr>
          <w:rFonts w:ascii="Arial" w:eastAsia="Times New Roman" w:hAnsi="Arial" w:cs="Arial"/>
          <w:color w:val="000000"/>
          <w:sz w:val="22"/>
          <w:szCs w:val="22"/>
        </w:rPr>
        <w:t xml:space="preserve"> </w:t>
      </w:r>
      <w:r>
        <w:rPr>
          <w:rFonts w:ascii="Arial" w:eastAsia="Times New Roman" w:hAnsi="Arial" w:cs="Arial"/>
          <w:sz w:val="22"/>
          <w:szCs w:val="22"/>
        </w:rPr>
        <w:t>[Accessed April 29, 2019]</w:t>
      </w:r>
    </w:p>
    <w:p w14:paraId="7ED1033F" w14:textId="77777777" w:rsidR="000B63B4" w:rsidRPr="000B63B4" w:rsidRDefault="000B63B4" w:rsidP="000B63B4">
      <w:pPr>
        <w:rPr>
          <w:rFonts w:ascii="Arial" w:eastAsia="Times New Roman" w:hAnsi="Arial" w:cs="Arial"/>
          <w:sz w:val="22"/>
          <w:szCs w:val="22"/>
        </w:rPr>
      </w:pPr>
    </w:p>
    <w:p w14:paraId="33767941" w14:textId="77777777" w:rsidR="00C4294F" w:rsidRPr="000B63B4" w:rsidRDefault="0083103D">
      <w:pPr>
        <w:rPr>
          <w:rFonts w:ascii="Arial" w:hAnsi="Arial" w:cs="Arial"/>
          <w:sz w:val="22"/>
          <w:szCs w:val="22"/>
        </w:rPr>
      </w:pPr>
    </w:p>
    <w:sectPr w:rsidR="00C4294F" w:rsidRPr="000B63B4" w:rsidSect="008E7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A4283"/>
    <w:multiLevelType w:val="hybridMultilevel"/>
    <w:tmpl w:val="1EE45912"/>
    <w:lvl w:ilvl="0" w:tplc="C2AA92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620B8"/>
    <w:multiLevelType w:val="multilevel"/>
    <w:tmpl w:val="F2BC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B4"/>
    <w:rsid w:val="000B63B4"/>
    <w:rsid w:val="000E6C7C"/>
    <w:rsid w:val="002607A9"/>
    <w:rsid w:val="0034611A"/>
    <w:rsid w:val="003A3ACB"/>
    <w:rsid w:val="00534544"/>
    <w:rsid w:val="005C0BF1"/>
    <w:rsid w:val="005C207F"/>
    <w:rsid w:val="0077204B"/>
    <w:rsid w:val="0083103D"/>
    <w:rsid w:val="008E7B16"/>
    <w:rsid w:val="00BA2C07"/>
    <w:rsid w:val="00C7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45B73"/>
  <w15:chartTrackingRefBased/>
  <w15:docId w15:val="{2943A206-9A63-F54E-909C-B99F5644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3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B63B4"/>
    <w:rPr>
      <w:color w:val="0000FF"/>
      <w:u w:val="single"/>
    </w:rPr>
  </w:style>
  <w:style w:type="character" w:customStyle="1" w:styleId="apple-tab-span">
    <w:name w:val="apple-tab-span"/>
    <w:basedOn w:val="DefaultParagraphFont"/>
    <w:rsid w:val="000B63B4"/>
  </w:style>
  <w:style w:type="paragraph" w:styleId="ListParagraph">
    <w:name w:val="List Paragraph"/>
    <w:basedOn w:val="Normal"/>
    <w:uiPriority w:val="34"/>
    <w:qFormat/>
    <w:rsid w:val="000B6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VCLpzg" TargetMode="External"/><Relationship Id="rId3" Type="http://schemas.openxmlformats.org/officeDocument/2006/relationships/settings" Target="settings.xml"/><Relationship Id="rId7" Type="http://schemas.openxmlformats.org/officeDocument/2006/relationships/hyperlink" Target="https://doi.org/10.7812/TPP/18-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permanentejournal.org/issues/2017/summer/6479-the-patient-centered-medical-home-as-a-community-based-strategy.html" TargetMode="External"/><Relationship Id="rId11" Type="http://schemas.openxmlformats.org/officeDocument/2006/relationships/fontTable" Target="fontTable.xml"/><Relationship Id="rId5" Type="http://schemas.openxmlformats.org/officeDocument/2006/relationships/hyperlink" Target="https://www.stfm.org/FamilyMedicine/Vol47Issue8/Howrey604" TargetMode="External"/><Relationship Id="rId10" Type="http://schemas.openxmlformats.org/officeDocument/2006/relationships/hyperlink" Target="https://bit.ly/2VCQtUi" TargetMode="External"/><Relationship Id="rId4" Type="http://schemas.openxmlformats.org/officeDocument/2006/relationships/webSettings" Target="webSettings.xml"/><Relationship Id="rId9" Type="http://schemas.openxmlformats.org/officeDocument/2006/relationships/hyperlink" Target="https://bit.ly/2GFC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2019-05-15T17:29:00Z</dcterms:created>
  <dcterms:modified xsi:type="dcterms:W3CDTF">2019-05-15T17:29:00Z</dcterms:modified>
</cp:coreProperties>
</file>