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7E2D6" w14:textId="1C63E9F6" w:rsidR="001E57E1" w:rsidRPr="001E57E1" w:rsidRDefault="001E57E1" w:rsidP="001E57E1">
      <w:pPr>
        <w:jc w:val="center"/>
        <w:rPr>
          <w:b/>
          <w:i/>
        </w:rPr>
      </w:pPr>
      <w:bookmarkStart w:id="0" w:name="_GoBack"/>
      <w:bookmarkEnd w:id="0"/>
      <w:r>
        <w:rPr>
          <w:b/>
          <w:i/>
        </w:rPr>
        <w:t>Cross-Jurisdictional Sharing</w:t>
      </w:r>
      <w:r w:rsidR="00CC368A">
        <w:rPr>
          <w:b/>
          <w:i/>
        </w:rPr>
        <w:t xml:space="preserve"> and Tribal Public Health Services</w:t>
      </w:r>
    </w:p>
    <w:p w14:paraId="4AF65136" w14:textId="77777777" w:rsidR="00CC368A" w:rsidRDefault="001E57E1" w:rsidP="00CC368A">
      <w:pPr>
        <w:spacing w:after="0" w:line="240" w:lineRule="auto"/>
        <w:rPr>
          <w:b/>
        </w:rPr>
      </w:pPr>
      <w:r w:rsidRPr="001E57E1">
        <w:rPr>
          <w:b/>
        </w:rPr>
        <w:t>BACKGROUND:</w:t>
      </w:r>
    </w:p>
    <w:p w14:paraId="6979A51D" w14:textId="3F556AFD" w:rsidR="00E86108" w:rsidRPr="00CC368A" w:rsidRDefault="00E86108" w:rsidP="00CC368A">
      <w:pPr>
        <w:spacing w:after="0" w:line="240" w:lineRule="auto"/>
        <w:rPr>
          <w:b/>
        </w:rPr>
      </w:pPr>
      <w:r w:rsidRPr="00F00042">
        <w:rPr>
          <w:rFonts w:eastAsia="Times New Roman" w:cs="Times New Roman"/>
          <w:color w:val="000000"/>
          <w:szCs w:val="24"/>
        </w:rPr>
        <w:t>As a sovereign government and the local health authority, the Tribe</w:t>
      </w:r>
      <w:r>
        <w:rPr>
          <w:rFonts w:eastAsia="Times New Roman" w:cs="Times New Roman"/>
          <w:color w:val="000000"/>
          <w:szCs w:val="24"/>
        </w:rPr>
        <w:t>s</w:t>
      </w:r>
      <w:r w:rsidRPr="00F00042">
        <w:rPr>
          <w:rFonts w:eastAsia="Times New Roman" w:cs="Times New Roman"/>
          <w:color w:val="000000"/>
          <w:szCs w:val="24"/>
        </w:rPr>
        <w:t xml:space="preserve"> </w:t>
      </w:r>
      <w:r>
        <w:rPr>
          <w:rFonts w:eastAsia="Times New Roman" w:cs="Times New Roman"/>
          <w:color w:val="000000"/>
          <w:szCs w:val="24"/>
        </w:rPr>
        <w:t>have</w:t>
      </w:r>
      <w:r w:rsidRPr="00F00042">
        <w:rPr>
          <w:rFonts w:eastAsia="Times New Roman" w:cs="Times New Roman"/>
          <w:color w:val="000000"/>
          <w:szCs w:val="24"/>
        </w:rPr>
        <w:t xml:space="preserve"> multiple options for administering and managing a</w:t>
      </w:r>
      <w:r>
        <w:rPr>
          <w:rFonts w:eastAsia="Times New Roman" w:cs="Times New Roman"/>
          <w:color w:val="000000"/>
          <w:szCs w:val="24"/>
        </w:rPr>
        <w:t xml:space="preserve"> public </w:t>
      </w:r>
      <w:r w:rsidRPr="00F00042">
        <w:rPr>
          <w:rFonts w:eastAsia="Times New Roman" w:cs="Times New Roman"/>
          <w:color w:val="000000"/>
          <w:szCs w:val="24"/>
        </w:rPr>
        <w:t xml:space="preserve">health program. Many Tribes have inadequate government infrastructure, not enough funding resources, and such small populations that it seems infeasible to deliver their own program. </w:t>
      </w:r>
      <w:r>
        <w:rPr>
          <w:rFonts w:eastAsia="Times New Roman" w:cs="Times New Roman"/>
          <w:szCs w:val="24"/>
        </w:rPr>
        <w:t xml:space="preserve">  An option for Tribal public health system delivery is to </w:t>
      </w:r>
      <w:r w:rsidRPr="00F00042">
        <w:rPr>
          <w:rFonts w:eastAsia="Times New Roman" w:cs="Times New Roman"/>
          <w:color w:val="000000"/>
          <w:szCs w:val="24"/>
        </w:rPr>
        <w:t>enter into an intergovernmental agreement with another local health authority for cross-jurisdictional sharing of services.</w:t>
      </w:r>
    </w:p>
    <w:p w14:paraId="44E4E1A8" w14:textId="77777777" w:rsidR="00E86108" w:rsidRPr="00E86108" w:rsidRDefault="00E86108" w:rsidP="00E86108">
      <w:pPr>
        <w:spacing w:after="0" w:line="240" w:lineRule="auto"/>
        <w:rPr>
          <w:rFonts w:eastAsia="Times New Roman" w:cs="Times New Roman"/>
          <w:szCs w:val="24"/>
        </w:rPr>
      </w:pPr>
    </w:p>
    <w:p w14:paraId="6E126A0F" w14:textId="77777777" w:rsidR="00E86108" w:rsidRPr="00F00042" w:rsidRDefault="00E86108" w:rsidP="00E86108">
      <w:pPr>
        <w:pStyle w:val="Heading4"/>
        <w:rPr>
          <w:rFonts w:eastAsia="Times New Roman"/>
        </w:rPr>
      </w:pPr>
      <w:r w:rsidRPr="00F00042">
        <w:rPr>
          <w:rFonts w:eastAsia="Times New Roman"/>
        </w:rPr>
        <w:t>Cross-Jurisdictional Sharing of Public Health Services (from CDC)</w:t>
      </w:r>
    </w:p>
    <w:p w14:paraId="70C712FD" w14:textId="132D39FB" w:rsidR="00E86108" w:rsidRPr="0012204B" w:rsidRDefault="00E86108" w:rsidP="00E86108">
      <w:pPr>
        <w:spacing w:after="0" w:line="240" w:lineRule="auto"/>
        <w:rPr>
          <w:rFonts w:eastAsia="Times New Roman" w:cs="Times New Roman"/>
          <w:szCs w:val="24"/>
        </w:rPr>
      </w:pPr>
      <w:r w:rsidRPr="00F00042">
        <w:rPr>
          <w:rFonts w:eastAsia="Times New Roman" w:cs="Times New Roman"/>
          <w:color w:val="000000"/>
          <w:szCs w:val="24"/>
        </w:rPr>
        <w:t xml:space="preserve">Cross-jurisdictional sharing </w:t>
      </w:r>
      <w:r w:rsidR="001E57E1">
        <w:rPr>
          <w:rFonts w:eastAsia="Times New Roman" w:cs="Times New Roman"/>
          <w:color w:val="000000"/>
          <w:szCs w:val="24"/>
        </w:rPr>
        <w:t xml:space="preserve">(CJS) </w:t>
      </w:r>
      <w:r w:rsidRPr="00F00042">
        <w:rPr>
          <w:rFonts w:eastAsia="Times New Roman" w:cs="Times New Roman"/>
          <w:color w:val="000000"/>
          <w:szCs w:val="24"/>
        </w:rPr>
        <w:t>is “the deliberate exercise of public authority to enable collaboration across jurisdictional boundaries to deliver essential public health services” (Center for Sharing Public Health Services, 2013).</w:t>
      </w:r>
      <w:r w:rsidR="0012204B">
        <w:rPr>
          <w:rFonts w:eastAsia="Times New Roman" w:cs="Times New Roman"/>
          <w:szCs w:val="24"/>
        </w:rPr>
        <w:t xml:space="preserve"> </w:t>
      </w:r>
      <w:r w:rsidRPr="00F00042">
        <w:rPr>
          <w:rFonts w:eastAsia="Times New Roman" w:cs="Times New Roman"/>
          <w:color w:val="000000"/>
          <w:szCs w:val="24"/>
        </w:rPr>
        <w:t>Cross-jurisdictional sharing can range from supporting informal arrangements to more formal changes in structure. In public health, cross-jurisdictional sharing often occurs between health departments or agencies serving two or more jurisdictions. Collaboration allows communities to solve issues or problems that cannot be easily solved by a single organization or jurisdiction.</w:t>
      </w:r>
      <w:r w:rsidRPr="00F00042">
        <w:rPr>
          <w:rFonts w:eastAsia="Times New Roman" w:cs="Times New Roman"/>
          <w:color w:val="000000"/>
          <w:szCs w:val="24"/>
        </w:rPr>
        <w:br/>
      </w:r>
    </w:p>
    <w:p w14:paraId="20306760" w14:textId="77777777" w:rsidR="00E86108" w:rsidRPr="00F00042" w:rsidRDefault="00E86108" w:rsidP="00E86108">
      <w:pPr>
        <w:spacing w:after="0" w:line="240" w:lineRule="auto"/>
        <w:rPr>
          <w:rFonts w:eastAsia="Times New Roman" w:cs="Times New Roman"/>
          <w:szCs w:val="24"/>
        </w:rPr>
      </w:pPr>
      <w:r w:rsidRPr="00F00042">
        <w:rPr>
          <w:rFonts w:eastAsia="Times New Roman" w:cs="Times New Roman"/>
          <w:color w:val="000000"/>
          <w:szCs w:val="24"/>
          <w:u w:val="single"/>
        </w:rPr>
        <w:t>Examples of cross-jurisdictional sharing include</w:t>
      </w:r>
    </w:p>
    <w:p w14:paraId="7BFAA444" w14:textId="77777777" w:rsidR="00E86108" w:rsidRPr="00F00042" w:rsidRDefault="00E86108" w:rsidP="00E86108">
      <w:pPr>
        <w:numPr>
          <w:ilvl w:val="0"/>
          <w:numId w:val="1"/>
        </w:numPr>
        <w:spacing w:after="0" w:line="240" w:lineRule="auto"/>
        <w:textAlignment w:val="baseline"/>
        <w:rPr>
          <w:rFonts w:eastAsia="Times New Roman" w:cs="Arial"/>
          <w:color w:val="000000"/>
          <w:szCs w:val="24"/>
        </w:rPr>
      </w:pPr>
      <w:r w:rsidRPr="00F00042">
        <w:rPr>
          <w:rFonts w:eastAsia="Times New Roman" w:cs="Arial"/>
          <w:color w:val="000000"/>
          <w:szCs w:val="24"/>
        </w:rPr>
        <w:t>Regionalization of health departments, such as through the consolidation of two or more health departments</w:t>
      </w:r>
    </w:p>
    <w:p w14:paraId="597CAF1A" w14:textId="77777777" w:rsidR="00E86108" w:rsidRPr="00F00042" w:rsidRDefault="00E86108" w:rsidP="00E86108">
      <w:pPr>
        <w:numPr>
          <w:ilvl w:val="0"/>
          <w:numId w:val="1"/>
        </w:numPr>
        <w:spacing w:after="0" w:line="240" w:lineRule="auto"/>
        <w:textAlignment w:val="baseline"/>
        <w:rPr>
          <w:rFonts w:eastAsia="Times New Roman" w:cs="Arial"/>
          <w:color w:val="000000"/>
          <w:szCs w:val="24"/>
        </w:rPr>
      </w:pPr>
      <w:r w:rsidRPr="00F00042">
        <w:rPr>
          <w:rFonts w:eastAsia="Times New Roman" w:cs="Arial"/>
          <w:color w:val="000000"/>
          <w:szCs w:val="24"/>
        </w:rPr>
        <w:t xml:space="preserve">Sharing staff between two or more health departments, such as an epidemiologist or </w:t>
      </w:r>
      <w:r>
        <w:rPr>
          <w:rFonts w:eastAsia="Times New Roman" w:cs="Arial"/>
          <w:color w:val="000000"/>
          <w:szCs w:val="24"/>
        </w:rPr>
        <w:t>Environmental Health Specialist t</w:t>
      </w:r>
      <w:r w:rsidRPr="00F00042">
        <w:rPr>
          <w:rFonts w:eastAsia="Times New Roman" w:cs="Arial"/>
          <w:color w:val="000000"/>
          <w:szCs w:val="24"/>
        </w:rPr>
        <w:t>hat supports multiple health department jurisdictions</w:t>
      </w:r>
    </w:p>
    <w:p w14:paraId="1F564F97" w14:textId="77777777" w:rsidR="00E86108" w:rsidRPr="00F00042" w:rsidRDefault="00E86108" w:rsidP="00E86108">
      <w:pPr>
        <w:numPr>
          <w:ilvl w:val="0"/>
          <w:numId w:val="1"/>
        </w:numPr>
        <w:spacing w:after="0" w:line="240" w:lineRule="auto"/>
        <w:textAlignment w:val="baseline"/>
        <w:rPr>
          <w:rFonts w:eastAsia="Times New Roman" w:cs="Arial"/>
          <w:color w:val="000000"/>
          <w:szCs w:val="24"/>
        </w:rPr>
      </w:pPr>
      <w:r w:rsidRPr="00F00042">
        <w:rPr>
          <w:rFonts w:eastAsia="Times New Roman" w:cs="Arial"/>
          <w:color w:val="000000"/>
          <w:szCs w:val="24"/>
        </w:rPr>
        <w:t>Sharing defined services, such as laboratory testing services or inspection services</w:t>
      </w:r>
    </w:p>
    <w:p w14:paraId="4D3810D9" w14:textId="77777777" w:rsidR="00E86108" w:rsidRPr="00F00042" w:rsidRDefault="00E86108" w:rsidP="00E86108">
      <w:pPr>
        <w:numPr>
          <w:ilvl w:val="0"/>
          <w:numId w:val="1"/>
        </w:numPr>
        <w:spacing w:after="0" w:line="240" w:lineRule="auto"/>
        <w:textAlignment w:val="baseline"/>
        <w:rPr>
          <w:rFonts w:eastAsia="Times New Roman" w:cs="Arial"/>
          <w:color w:val="000000"/>
          <w:szCs w:val="24"/>
        </w:rPr>
      </w:pPr>
      <w:r w:rsidRPr="00F00042">
        <w:rPr>
          <w:rFonts w:eastAsia="Times New Roman" w:cs="Arial"/>
          <w:color w:val="000000"/>
          <w:szCs w:val="24"/>
        </w:rPr>
        <w:t>Collaborative assessment and planning processes that include two or more health departments and leads to shared priorities; examples might include regional preparedness plans, cross-border plans, or community health improvement plans</w:t>
      </w:r>
    </w:p>
    <w:p w14:paraId="7AEB2920" w14:textId="77777777" w:rsidR="00E86108" w:rsidRPr="00F00042" w:rsidRDefault="00E86108" w:rsidP="00E86108">
      <w:pPr>
        <w:spacing w:after="0" w:line="240" w:lineRule="auto"/>
        <w:rPr>
          <w:rFonts w:eastAsia="Times New Roman" w:cs="Times New Roman"/>
          <w:szCs w:val="24"/>
        </w:rPr>
      </w:pPr>
    </w:p>
    <w:p w14:paraId="321A1935" w14:textId="7793831F" w:rsidR="00E86108" w:rsidRDefault="00E86108" w:rsidP="00E86108">
      <w:pPr>
        <w:spacing w:after="0" w:line="240" w:lineRule="auto"/>
        <w:rPr>
          <w:rFonts w:eastAsia="Times New Roman" w:cs="Times New Roman"/>
          <w:color w:val="000000"/>
          <w:szCs w:val="24"/>
        </w:rPr>
      </w:pPr>
      <w:r w:rsidRPr="00F00042">
        <w:rPr>
          <w:rFonts w:eastAsia="Times New Roman" w:cs="Times New Roman"/>
          <w:color w:val="000000"/>
          <w:szCs w:val="24"/>
        </w:rPr>
        <w:t xml:space="preserve">Intergovernmental Agreements between </w:t>
      </w:r>
      <w:r>
        <w:rPr>
          <w:rFonts w:eastAsia="Times New Roman" w:cs="Times New Roman"/>
          <w:color w:val="000000"/>
          <w:szCs w:val="24"/>
        </w:rPr>
        <w:t>Tribes</w:t>
      </w:r>
      <w:r w:rsidRPr="00F00042">
        <w:rPr>
          <w:rFonts w:eastAsia="Times New Roman" w:cs="Times New Roman"/>
          <w:color w:val="000000"/>
          <w:szCs w:val="24"/>
        </w:rPr>
        <w:t xml:space="preserve"> and surrounding local governments are founded on mutual respect. They serve as a pledge that the governments are committed to maintaining positive government-to-government relationships for the benefit of all community members. Many </w:t>
      </w:r>
      <w:r>
        <w:rPr>
          <w:rFonts w:eastAsia="Times New Roman" w:cs="Times New Roman"/>
          <w:color w:val="000000"/>
          <w:szCs w:val="24"/>
        </w:rPr>
        <w:t>Tribes</w:t>
      </w:r>
      <w:r w:rsidRPr="00F00042">
        <w:rPr>
          <w:rFonts w:eastAsia="Times New Roman" w:cs="Times New Roman"/>
          <w:color w:val="000000"/>
          <w:szCs w:val="24"/>
        </w:rPr>
        <w:t xml:space="preserve"> have agreements with their neighbors that address a multitude of services such as police protection and mutual aid, fire protection, zoning and land use, road maintenance, sewerage district services, storm water, environmental protection and restoration, tourism, and emergency communications.</w:t>
      </w:r>
      <w:r w:rsidR="00CC368A">
        <w:rPr>
          <w:rFonts w:eastAsia="Times New Roman" w:cs="Times New Roman"/>
          <w:color w:val="000000"/>
          <w:szCs w:val="24"/>
        </w:rPr>
        <w:t xml:space="preserve">  However, CJS </w:t>
      </w:r>
      <w:r w:rsidR="0012204B">
        <w:rPr>
          <w:rFonts w:eastAsia="Times New Roman" w:cs="Times New Roman"/>
          <w:color w:val="000000"/>
          <w:szCs w:val="24"/>
        </w:rPr>
        <w:t>agreements for public health are rare, but could be very instrumental to improving Tribal public health capacity.</w:t>
      </w:r>
    </w:p>
    <w:p w14:paraId="2C0CA18C" w14:textId="7B9E4110" w:rsidR="00ED307E" w:rsidRDefault="00ED307E" w:rsidP="00E86108">
      <w:pPr>
        <w:spacing w:after="0" w:line="240" w:lineRule="auto"/>
        <w:rPr>
          <w:rFonts w:eastAsia="Times New Roman" w:cs="Times New Roman"/>
          <w:szCs w:val="24"/>
        </w:rPr>
      </w:pPr>
    </w:p>
    <w:p w14:paraId="0132EE6A" w14:textId="0DE6060F" w:rsidR="00ED307E" w:rsidRPr="00856C6A" w:rsidRDefault="00856C6A" w:rsidP="00E86108">
      <w:pPr>
        <w:spacing w:after="0" w:line="240" w:lineRule="auto"/>
        <w:rPr>
          <w:rFonts w:eastAsia="Times New Roman" w:cs="Times New Roman"/>
          <w:b/>
          <w:szCs w:val="24"/>
        </w:rPr>
      </w:pPr>
      <w:r w:rsidRPr="00856C6A">
        <w:rPr>
          <w:rFonts w:eastAsia="Times New Roman" w:cs="Times New Roman"/>
          <w:b/>
          <w:szCs w:val="24"/>
        </w:rPr>
        <w:t>QUESTIONS:</w:t>
      </w:r>
    </w:p>
    <w:p w14:paraId="26E5DA4C" w14:textId="4DCC19F0" w:rsidR="00ED307E" w:rsidRDefault="00002932" w:rsidP="00ED307E">
      <w:pPr>
        <w:pStyle w:val="ListParagraph"/>
        <w:numPr>
          <w:ilvl w:val="0"/>
          <w:numId w:val="3"/>
        </w:numPr>
        <w:spacing w:after="0" w:line="240" w:lineRule="auto"/>
        <w:rPr>
          <w:rFonts w:eastAsia="Times New Roman" w:cs="Times New Roman"/>
          <w:szCs w:val="24"/>
        </w:rPr>
      </w:pPr>
      <w:r>
        <w:rPr>
          <w:rFonts w:eastAsia="Times New Roman" w:cs="Times New Roman"/>
          <w:szCs w:val="24"/>
        </w:rPr>
        <w:t xml:space="preserve">What </w:t>
      </w:r>
      <w:r w:rsidR="00856C6A">
        <w:rPr>
          <w:rFonts w:eastAsia="Times New Roman" w:cs="Times New Roman"/>
          <w:szCs w:val="24"/>
        </w:rPr>
        <w:t>elements or</w:t>
      </w:r>
      <w:r w:rsidR="001E57E1">
        <w:rPr>
          <w:rFonts w:eastAsia="Times New Roman" w:cs="Times New Roman"/>
          <w:szCs w:val="24"/>
        </w:rPr>
        <w:t xml:space="preserve"> variables </w:t>
      </w:r>
      <w:r>
        <w:rPr>
          <w:rFonts w:eastAsia="Times New Roman" w:cs="Times New Roman"/>
          <w:szCs w:val="24"/>
        </w:rPr>
        <w:t>should be considered if you were interested in evaluating the effectiveness of CJ</w:t>
      </w:r>
      <w:r w:rsidR="001E57E1">
        <w:rPr>
          <w:rFonts w:eastAsia="Times New Roman" w:cs="Times New Roman"/>
          <w:szCs w:val="24"/>
        </w:rPr>
        <w:t>S</w:t>
      </w:r>
      <w:r>
        <w:rPr>
          <w:rFonts w:eastAsia="Times New Roman" w:cs="Times New Roman"/>
          <w:szCs w:val="24"/>
        </w:rPr>
        <w:t xml:space="preserve"> agreements with Tribes?</w:t>
      </w:r>
    </w:p>
    <w:p w14:paraId="798C2E13" w14:textId="542FC8D1" w:rsidR="00E32256" w:rsidRDefault="00E32256" w:rsidP="00ED307E">
      <w:pPr>
        <w:pStyle w:val="ListParagraph"/>
        <w:numPr>
          <w:ilvl w:val="0"/>
          <w:numId w:val="3"/>
        </w:numPr>
        <w:spacing w:after="0" w:line="240" w:lineRule="auto"/>
        <w:rPr>
          <w:rFonts w:eastAsia="Times New Roman" w:cs="Times New Roman"/>
          <w:szCs w:val="24"/>
        </w:rPr>
      </w:pPr>
      <w:r>
        <w:rPr>
          <w:rFonts w:eastAsia="Times New Roman" w:cs="Times New Roman"/>
          <w:szCs w:val="24"/>
        </w:rPr>
        <w:t>How do CJ</w:t>
      </w:r>
      <w:r w:rsidR="001E57E1">
        <w:rPr>
          <w:rFonts w:eastAsia="Times New Roman" w:cs="Times New Roman"/>
          <w:szCs w:val="24"/>
        </w:rPr>
        <w:t>S</w:t>
      </w:r>
      <w:r>
        <w:rPr>
          <w:rFonts w:eastAsia="Times New Roman" w:cs="Times New Roman"/>
          <w:szCs w:val="24"/>
        </w:rPr>
        <w:t xml:space="preserve"> policies get implemented?</w:t>
      </w:r>
      <w:r w:rsidR="00CC368A">
        <w:rPr>
          <w:rFonts w:eastAsia="Times New Roman" w:cs="Times New Roman"/>
          <w:szCs w:val="24"/>
        </w:rPr>
        <w:t xml:space="preserve"> I really liked the article Lindsay shared about implementation theories and models, but do not have much knowledge about it, so appreciate your input.</w:t>
      </w:r>
    </w:p>
    <w:p w14:paraId="5F464D78" w14:textId="1BBE75A7" w:rsidR="00002932" w:rsidRPr="00ED307E" w:rsidRDefault="00002932" w:rsidP="00ED307E">
      <w:pPr>
        <w:pStyle w:val="ListParagraph"/>
        <w:numPr>
          <w:ilvl w:val="0"/>
          <w:numId w:val="3"/>
        </w:numPr>
        <w:spacing w:after="0" w:line="240" w:lineRule="auto"/>
        <w:rPr>
          <w:rFonts w:eastAsia="Times New Roman" w:cs="Times New Roman"/>
          <w:szCs w:val="24"/>
        </w:rPr>
      </w:pPr>
      <w:r>
        <w:rPr>
          <w:rFonts w:eastAsia="Times New Roman" w:cs="Times New Roman"/>
          <w:szCs w:val="24"/>
        </w:rPr>
        <w:lastRenderedPageBreak/>
        <w:t>Do C</w:t>
      </w:r>
      <w:r w:rsidR="001E57E1">
        <w:rPr>
          <w:rFonts w:eastAsia="Times New Roman" w:cs="Times New Roman"/>
          <w:szCs w:val="24"/>
        </w:rPr>
        <w:t>JS</w:t>
      </w:r>
      <w:r>
        <w:rPr>
          <w:rFonts w:eastAsia="Times New Roman" w:cs="Times New Roman"/>
          <w:szCs w:val="24"/>
        </w:rPr>
        <w:t>s require a new governance structure?  What should a structure look like</w:t>
      </w:r>
      <w:r w:rsidR="00E32256">
        <w:rPr>
          <w:rFonts w:eastAsia="Times New Roman" w:cs="Times New Roman"/>
          <w:szCs w:val="24"/>
        </w:rPr>
        <w:t xml:space="preserve"> – who should be represented on the board?</w:t>
      </w:r>
    </w:p>
    <w:p w14:paraId="5EFA4F5A" w14:textId="656EC588" w:rsidR="00ED307E" w:rsidRPr="00856C6A" w:rsidRDefault="00E32256" w:rsidP="00ED307E">
      <w:pPr>
        <w:rPr>
          <w:u w:val="single"/>
        </w:rPr>
      </w:pPr>
      <w:r w:rsidRPr="00856C6A">
        <w:rPr>
          <w:u w:val="single"/>
        </w:rPr>
        <w:t>Resources</w:t>
      </w:r>
    </w:p>
    <w:p w14:paraId="40995182" w14:textId="77777777" w:rsidR="00856C6A" w:rsidRPr="001E57E1" w:rsidRDefault="00856C6A" w:rsidP="001E57E1">
      <w:pPr>
        <w:pStyle w:val="ListParagraph"/>
        <w:numPr>
          <w:ilvl w:val="0"/>
          <w:numId w:val="4"/>
        </w:numPr>
        <w:spacing w:after="0" w:line="240" w:lineRule="auto"/>
        <w:rPr>
          <w:rFonts w:ascii="Times New Roman" w:eastAsia="Times New Roman" w:hAnsi="Times New Roman" w:cs="Times New Roman"/>
          <w:szCs w:val="24"/>
        </w:rPr>
      </w:pPr>
      <w:r>
        <w:t xml:space="preserve">This is the best link for understanding the topic:  </w:t>
      </w:r>
      <w:hyperlink r:id="rId8" w:history="1">
        <w:r w:rsidRPr="001E57E1">
          <w:rPr>
            <w:rFonts w:ascii="Times New Roman" w:eastAsia="Times New Roman" w:hAnsi="Times New Roman" w:cs="Times New Roman"/>
            <w:color w:val="0000FF"/>
            <w:szCs w:val="24"/>
            <w:u w:val="single"/>
          </w:rPr>
          <w:t>https://phsharing.org/</w:t>
        </w:r>
      </w:hyperlink>
    </w:p>
    <w:p w14:paraId="4E599BC5" w14:textId="0D52E7F5" w:rsidR="00E32256" w:rsidRDefault="00856C6A" w:rsidP="00856C6A">
      <w:pPr>
        <w:spacing w:after="0" w:line="240" w:lineRule="auto"/>
      </w:pPr>
      <w:r>
        <w:t xml:space="preserve">  </w:t>
      </w:r>
    </w:p>
    <w:p w14:paraId="14EBB761" w14:textId="06B95BE8" w:rsidR="00E32256" w:rsidRDefault="00856C6A" w:rsidP="001E57E1">
      <w:pPr>
        <w:pStyle w:val="ListParagraph"/>
        <w:numPr>
          <w:ilvl w:val="0"/>
          <w:numId w:val="4"/>
        </w:numPr>
      </w:pPr>
      <w:r>
        <w:t>The attachment I included has a worksheet and some Tribal example agreements.</w:t>
      </w:r>
    </w:p>
    <w:p w14:paraId="2F5A3F24" w14:textId="4710E8FC" w:rsidR="00ED307E" w:rsidRDefault="00ED307E" w:rsidP="00ED307E">
      <w:r>
        <w:t xml:space="preserve">Institute for Wisconsin’s Health, Incorporated. (2014). Exploring service sharing to improve tribal public health:  agreement examples and worksheet. Available from:  </w:t>
      </w:r>
      <w:hyperlink r:id="rId9" w:history="1">
        <w:r w:rsidR="0012204B" w:rsidRPr="000A2F36">
          <w:rPr>
            <w:rStyle w:val="Hyperlink"/>
          </w:rPr>
          <w:t>www.instituteforwihealth.org</w:t>
        </w:r>
      </w:hyperlink>
      <w:r w:rsidR="0012204B">
        <w:t xml:space="preserve"> </w:t>
      </w:r>
    </w:p>
    <w:p w14:paraId="34350CB7" w14:textId="77777777" w:rsidR="00ED307E" w:rsidRDefault="00ED307E" w:rsidP="00ED307E">
      <w:r>
        <w:t>Stier, D.D., Thombley, M.L., DHHS, Centers for Disease Control and Prevention (CDC), Public Health Law Program. (n/a). Public health mutual aid agreements – a menu of suggested provisions. Retrieved via internet search.</w:t>
      </w:r>
    </w:p>
    <w:p w14:paraId="6DEE67D6" w14:textId="3D5F2F7C" w:rsidR="00E86108" w:rsidRDefault="00ED307E" w:rsidP="00ED307E">
      <w:r>
        <w:t xml:space="preserve">Northwood Shared Services Project WI; Center for Sharing Public Health Services, Robert Wood Johnson Foundation. (2014). Shared services in public health. Available from:  </w:t>
      </w:r>
      <w:hyperlink r:id="rId10" w:history="1">
        <w:r w:rsidR="0012204B" w:rsidRPr="000A2F36">
          <w:rPr>
            <w:rStyle w:val="Hyperlink"/>
          </w:rPr>
          <w:t>http://phsharing.org/sites/wisconsin/</w:t>
        </w:r>
      </w:hyperlink>
      <w:r w:rsidR="0012204B">
        <w:t xml:space="preserve"> </w:t>
      </w:r>
    </w:p>
    <w:sectPr w:rsidR="00E86108" w:rsidSect="0012204B">
      <w:headerReference w:type="default" r:id="rId11"/>
      <w:footerReference w:type="even"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6EEA8" w14:textId="77777777" w:rsidR="00DB4538" w:rsidRDefault="00DB4538" w:rsidP="0012204B">
      <w:pPr>
        <w:spacing w:after="0" w:line="240" w:lineRule="auto"/>
      </w:pPr>
      <w:r>
        <w:separator/>
      </w:r>
    </w:p>
  </w:endnote>
  <w:endnote w:type="continuationSeparator" w:id="0">
    <w:p w14:paraId="7CBDDE14" w14:textId="77777777" w:rsidR="00DB4538" w:rsidRDefault="00DB4538" w:rsidP="0012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4221280"/>
      <w:docPartObj>
        <w:docPartGallery w:val="Page Numbers (Bottom of Page)"/>
        <w:docPartUnique/>
      </w:docPartObj>
    </w:sdtPr>
    <w:sdtEndPr>
      <w:rPr>
        <w:rStyle w:val="PageNumber"/>
      </w:rPr>
    </w:sdtEndPr>
    <w:sdtContent>
      <w:p w14:paraId="3AB21F65" w14:textId="520CA61D" w:rsidR="0012204B" w:rsidRDefault="0012204B" w:rsidP="000A2F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6617F6" w14:textId="77777777" w:rsidR="0012204B" w:rsidRDefault="0012204B" w:rsidP="001220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6800097"/>
      <w:docPartObj>
        <w:docPartGallery w:val="Page Numbers (Bottom of Page)"/>
        <w:docPartUnique/>
      </w:docPartObj>
    </w:sdtPr>
    <w:sdtEndPr>
      <w:rPr>
        <w:rStyle w:val="PageNumber"/>
      </w:rPr>
    </w:sdtEndPr>
    <w:sdtContent>
      <w:p w14:paraId="2D5CA54E" w14:textId="2AE8B48F" w:rsidR="0012204B" w:rsidRDefault="0012204B" w:rsidP="000A2F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573A1A" w14:textId="77777777" w:rsidR="0012204B" w:rsidRDefault="0012204B" w:rsidP="001220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07767" w14:textId="77777777" w:rsidR="00DB4538" w:rsidRDefault="00DB4538" w:rsidP="0012204B">
      <w:pPr>
        <w:spacing w:after="0" w:line="240" w:lineRule="auto"/>
      </w:pPr>
      <w:r>
        <w:separator/>
      </w:r>
    </w:p>
  </w:footnote>
  <w:footnote w:type="continuationSeparator" w:id="0">
    <w:p w14:paraId="5D7C0B12" w14:textId="77777777" w:rsidR="00DB4538" w:rsidRDefault="00DB4538" w:rsidP="00122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2788" w14:textId="53F03B76" w:rsidR="0012204B" w:rsidRDefault="0012204B" w:rsidP="0012204B">
    <w:pPr>
      <w:pStyle w:val="Header"/>
      <w:jc w:val="right"/>
      <w:rPr>
        <w:sz w:val="20"/>
        <w:szCs w:val="20"/>
      </w:rPr>
    </w:pPr>
    <w:r>
      <w:rPr>
        <w:sz w:val="20"/>
        <w:szCs w:val="20"/>
      </w:rPr>
      <w:t>Celeste L. Davis</w:t>
    </w:r>
  </w:p>
  <w:p w14:paraId="4225F0BD" w14:textId="224724F9" w:rsidR="0012204B" w:rsidRPr="0012204B" w:rsidRDefault="0012204B" w:rsidP="0012204B">
    <w:pPr>
      <w:pStyle w:val="Header"/>
      <w:jc w:val="right"/>
      <w:rPr>
        <w:sz w:val="20"/>
        <w:szCs w:val="20"/>
      </w:rPr>
    </w:pPr>
    <w:r>
      <w:rPr>
        <w:sz w:val="20"/>
        <w:szCs w:val="20"/>
      </w:rPr>
      <w:t>HSMP 575 – SPR 2019.POLICY BRIEF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9605A"/>
    <w:multiLevelType w:val="multilevel"/>
    <w:tmpl w:val="4F48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36941"/>
    <w:multiLevelType w:val="hybridMultilevel"/>
    <w:tmpl w:val="8042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34460"/>
    <w:multiLevelType w:val="hybridMultilevel"/>
    <w:tmpl w:val="7782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84B9E"/>
    <w:multiLevelType w:val="multilevel"/>
    <w:tmpl w:val="EF44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08"/>
    <w:rsid w:val="00002932"/>
    <w:rsid w:val="00040A84"/>
    <w:rsid w:val="0012204B"/>
    <w:rsid w:val="001E57E1"/>
    <w:rsid w:val="00255095"/>
    <w:rsid w:val="005C6962"/>
    <w:rsid w:val="007B1D01"/>
    <w:rsid w:val="00856C6A"/>
    <w:rsid w:val="008A0BBD"/>
    <w:rsid w:val="009D0D4D"/>
    <w:rsid w:val="00C82C3B"/>
    <w:rsid w:val="00CC368A"/>
    <w:rsid w:val="00DB4538"/>
    <w:rsid w:val="00E32256"/>
    <w:rsid w:val="00E86108"/>
    <w:rsid w:val="00ED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29CE5"/>
  <w14:defaultImageDpi w14:val="32767"/>
  <w15:chartTrackingRefBased/>
  <w15:docId w15:val="{BF3B1999-76B4-9D4F-996A-E43FCA3C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6108"/>
    <w:pPr>
      <w:spacing w:after="160" w:line="259" w:lineRule="auto"/>
    </w:pPr>
    <w:rPr>
      <w:szCs w:val="22"/>
    </w:rPr>
  </w:style>
  <w:style w:type="paragraph" w:styleId="Heading4">
    <w:name w:val="heading 4"/>
    <w:basedOn w:val="Normal"/>
    <w:next w:val="Normal"/>
    <w:link w:val="Heading4Char"/>
    <w:uiPriority w:val="9"/>
    <w:unhideWhenUsed/>
    <w:qFormat/>
    <w:rsid w:val="00E86108"/>
    <w:pPr>
      <w:keepNext/>
      <w:keepLines/>
      <w:spacing w:before="40" w:after="0"/>
      <w:outlineLvl w:val="3"/>
    </w:pPr>
    <w:rPr>
      <w:rFonts w:asciiTheme="majorHAnsi" w:eastAsiaTheme="majorEastAsia" w:hAnsiTheme="majorHAnsi" w:cstheme="majorBidi"/>
      <w:b/>
      <w:i/>
      <w:iCs/>
      <w:color w:val="2F5496"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86108"/>
    <w:rPr>
      <w:rFonts w:asciiTheme="majorHAnsi" w:eastAsiaTheme="majorEastAsia" w:hAnsiTheme="majorHAnsi" w:cstheme="majorBidi"/>
      <w:b/>
      <w:i/>
      <w:iCs/>
      <w:color w:val="2F5496" w:themeColor="accent1" w:themeShade="BF"/>
      <w:szCs w:val="22"/>
      <w:u w:val="single"/>
    </w:rPr>
  </w:style>
  <w:style w:type="paragraph" w:styleId="Caption">
    <w:name w:val="caption"/>
    <w:basedOn w:val="Normal"/>
    <w:next w:val="Normal"/>
    <w:uiPriority w:val="35"/>
    <w:unhideWhenUsed/>
    <w:qFormat/>
    <w:rsid w:val="00E86108"/>
    <w:pPr>
      <w:spacing w:after="200" w:line="240" w:lineRule="auto"/>
    </w:pPr>
    <w:rPr>
      <w:i/>
      <w:iCs/>
      <w:color w:val="44546A" w:themeColor="text2"/>
      <w:sz w:val="18"/>
      <w:szCs w:val="18"/>
    </w:rPr>
  </w:style>
  <w:style w:type="paragraph" w:styleId="ListParagraph">
    <w:name w:val="List Paragraph"/>
    <w:basedOn w:val="Normal"/>
    <w:uiPriority w:val="34"/>
    <w:qFormat/>
    <w:rsid w:val="00ED307E"/>
    <w:pPr>
      <w:ind w:left="720"/>
      <w:contextualSpacing/>
    </w:pPr>
  </w:style>
  <w:style w:type="character" w:styleId="Hyperlink">
    <w:name w:val="Hyperlink"/>
    <w:basedOn w:val="DefaultParagraphFont"/>
    <w:uiPriority w:val="99"/>
    <w:unhideWhenUsed/>
    <w:rsid w:val="00856C6A"/>
    <w:rPr>
      <w:color w:val="0000FF"/>
      <w:u w:val="single"/>
    </w:rPr>
  </w:style>
  <w:style w:type="paragraph" w:styleId="Header">
    <w:name w:val="header"/>
    <w:basedOn w:val="Normal"/>
    <w:link w:val="HeaderChar"/>
    <w:uiPriority w:val="99"/>
    <w:unhideWhenUsed/>
    <w:rsid w:val="00122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04B"/>
    <w:rPr>
      <w:szCs w:val="22"/>
    </w:rPr>
  </w:style>
  <w:style w:type="paragraph" w:styleId="Footer">
    <w:name w:val="footer"/>
    <w:basedOn w:val="Normal"/>
    <w:link w:val="FooterChar"/>
    <w:uiPriority w:val="99"/>
    <w:unhideWhenUsed/>
    <w:rsid w:val="00122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04B"/>
    <w:rPr>
      <w:szCs w:val="22"/>
    </w:rPr>
  </w:style>
  <w:style w:type="character" w:styleId="UnresolvedMention">
    <w:name w:val="Unresolved Mention"/>
    <w:basedOn w:val="DefaultParagraphFont"/>
    <w:uiPriority w:val="99"/>
    <w:rsid w:val="0012204B"/>
    <w:rPr>
      <w:color w:val="605E5C"/>
      <w:shd w:val="clear" w:color="auto" w:fill="E1DFDD"/>
    </w:rPr>
  </w:style>
  <w:style w:type="character" w:styleId="PageNumber">
    <w:name w:val="page number"/>
    <w:basedOn w:val="DefaultParagraphFont"/>
    <w:uiPriority w:val="99"/>
    <w:semiHidden/>
    <w:unhideWhenUsed/>
    <w:rsid w:val="00122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02908">
      <w:bodyDiv w:val="1"/>
      <w:marLeft w:val="0"/>
      <w:marRight w:val="0"/>
      <w:marTop w:val="0"/>
      <w:marBottom w:val="0"/>
      <w:divBdr>
        <w:top w:val="none" w:sz="0" w:space="0" w:color="auto"/>
        <w:left w:val="none" w:sz="0" w:space="0" w:color="auto"/>
        <w:bottom w:val="none" w:sz="0" w:space="0" w:color="auto"/>
        <w:right w:val="none" w:sz="0" w:space="0" w:color="auto"/>
      </w:divBdr>
    </w:div>
    <w:div w:id="14054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sharing.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hsharing.org/sites/wisconsin/" TargetMode="External"/><Relationship Id="rId4" Type="http://schemas.openxmlformats.org/officeDocument/2006/relationships/settings" Target="settings.xml"/><Relationship Id="rId9" Type="http://schemas.openxmlformats.org/officeDocument/2006/relationships/hyperlink" Target="http://www.instituteforwihealt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5B19B-4877-5745-ABFC-2141C987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Microsoft Office User</cp:lastModifiedBy>
  <cp:revision>2</cp:revision>
  <dcterms:created xsi:type="dcterms:W3CDTF">2019-05-15T17:33:00Z</dcterms:created>
  <dcterms:modified xsi:type="dcterms:W3CDTF">2019-05-15T17:33:00Z</dcterms:modified>
</cp:coreProperties>
</file>